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r w:rsidRPr="0037358E">
        <w:rPr>
          <w:rFonts w:ascii="Palatino Linotype" w:hAnsi="Palatino Linotype" w:cs="Arial"/>
          <w:b/>
          <w:sz w:val="24"/>
          <w:szCs w:val="24"/>
        </w:rPr>
        <w:t xml:space="preserve">VOTO PARTICULAR DEL COMISIONADO JOSÉ GUADALUPE LUNA HERNÁNDEZ EN EL RECURSO DE REVISIÓN </w:t>
      </w:r>
      <w:r w:rsidR="005219C4">
        <w:rPr>
          <w:rFonts w:ascii="Palatino Linotype" w:hAnsi="Palatino Linotype" w:cs="Arial"/>
          <w:b/>
          <w:sz w:val="24"/>
          <w:szCs w:val="24"/>
        </w:rPr>
        <w:t>02279</w:t>
      </w:r>
      <w:r>
        <w:rPr>
          <w:rFonts w:ascii="Palatino Linotype" w:hAnsi="Palatino Linotype" w:cs="Arial"/>
          <w:b/>
          <w:sz w:val="24"/>
          <w:szCs w:val="24"/>
        </w:rPr>
        <w:t>/INFOEM/IP/RR/</w:t>
      </w:r>
      <w:r w:rsidR="00400EB2">
        <w:rPr>
          <w:rFonts w:ascii="Palatino Linotype" w:hAnsi="Palatino Linotype" w:cs="Arial"/>
          <w:b/>
          <w:sz w:val="24"/>
          <w:szCs w:val="24"/>
        </w:rPr>
        <w:t>2018</w:t>
      </w:r>
      <w:r w:rsidRPr="0037358E">
        <w:rPr>
          <w:rFonts w:ascii="Palatino Linotype" w:hAnsi="Palatino Linotype" w:cs="Arial"/>
          <w:b/>
          <w:sz w:val="24"/>
          <w:szCs w:val="24"/>
        </w:rPr>
        <w:t>.</w:t>
      </w:r>
    </w:p>
    <w:p w:rsidR="0009550C" w:rsidRDefault="0009550C" w:rsidP="00627CAE">
      <w:pPr>
        <w:spacing w:after="0" w:line="360" w:lineRule="auto"/>
        <w:jc w:val="both"/>
        <w:rPr>
          <w:rFonts w:ascii="Palatino Linotype" w:hAnsi="Palatino Linotype" w:cs="Arial"/>
          <w:b/>
          <w:sz w:val="24"/>
          <w:szCs w:val="24"/>
        </w:rPr>
      </w:pPr>
    </w:p>
    <w:p w:rsidR="00627CAE" w:rsidRPr="0037358E" w:rsidRDefault="00627CAE" w:rsidP="00627CAE">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w:t>
      </w:r>
      <w:r w:rsidR="0070347F">
        <w:rPr>
          <w:rFonts w:ascii="Palatino Linotype" w:hAnsi="Palatino Linotype" w:cs="Arial"/>
          <w:sz w:val="24"/>
          <w:szCs w:val="24"/>
        </w:rPr>
        <w:t>i</w:t>
      </w:r>
      <w:r w:rsidRPr="0037358E">
        <w:rPr>
          <w:rFonts w:ascii="Palatino Linotype" w:hAnsi="Palatino Linotype" w:cs="Arial"/>
          <w:sz w:val="24"/>
          <w:szCs w:val="24"/>
        </w:rPr>
        <w:t xml:space="preserve">nternacionales estableciendo un procedimiento expedito, sencillo y efectivo para reparar las posibles afectaciones al derecho humano de acceso a la información pública. </w:t>
      </w:r>
      <w:r w:rsidR="00365A30">
        <w:rPr>
          <w:rFonts w:ascii="Palatino Linotype" w:hAnsi="Palatino Linotype" w:cs="Arial"/>
          <w:sz w:val="24"/>
          <w:szCs w:val="24"/>
        </w:rPr>
        <w:t xml:space="preserve">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w:t>
      </w:r>
      <w:r w:rsidR="00776441">
        <w:rPr>
          <w:rFonts w:ascii="Palatino Linotype" w:hAnsi="Palatino Linotype" w:cs="Arial"/>
          <w:color w:val="000000" w:themeColor="text1"/>
          <w:sz w:val="24"/>
          <w:szCs w:val="24"/>
          <w:lang w:val="es-ES"/>
        </w:rPr>
        <w:t xml:space="preserve"> o realicen actos de autoridad.</w:t>
      </w:r>
    </w:p>
    <w:p w:rsidR="00776441" w:rsidRDefault="00776441"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776441">
        <w:rPr>
          <w:rFonts w:ascii="Palatino Linotype" w:hAnsi="Palatino Linotype" w:cs="Arial"/>
          <w:color w:val="000000" w:themeColor="text1"/>
          <w:sz w:val="24"/>
          <w:szCs w:val="24"/>
          <w:lang w:val="es-ES"/>
        </w:rPr>
        <w:lastRenderedPageBreak/>
        <w:t>Toda la información que sea generada, posea y administre, es pública y accesible de manera permanente a cualquier persona, privilegiando el principio de máxima publicidad de la misma, por lo tanto esta debe ser proporcionada; en el caso de las cuotas sindicales si bien se trata del monto aportado corresponde de un particular también lo que es que no se vulnera la privacidad de un particular, ya que no se está exponiend</w:t>
      </w:r>
      <w:r>
        <w:rPr>
          <w:rFonts w:ascii="Palatino Linotype" w:hAnsi="Palatino Linotype" w:cs="Arial"/>
          <w:color w:val="000000" w:themeColor="text1"/>
          <w:sz w:val="24"/>
          <w:szCs w:val="24"/>
          <w:lang w:val="es-ES"/>
        </w:rPr>
        <w:t xml:space="preserve">o a la persona como individuo, </w:t>
      </w:r>
      <w:r w:rsidRPr="00776441">
        <w:rPr>
          <w:rFonts w:ascii="Palatino Linotype" w:hAnsi="Palatino Linotype" w:cs="Arial"/>
          <w:color w:val="000000" w:themeColor="text1"/>
          <w:sz w:val="24"/>
          <w:szCs w:val="24"/>
          <w:lang w:val="es-ES"/>
        </w:rPr>
        <w:t>por lo tanto, no lo hace identificable; además, al poder acceder a la información por otras vías, nada practico serviría aprobar su clasificación.</w:t>
      </w:r>
    </w:p>
    <w:p w:rsidR="00D63660" w:rsidRDefault="00D63660"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DC11A3">
      <w:pPr>
        <w:spacing w:after="0" w:line="360" w:lineRule="auto"/>
        <w:jc w:val="center"/>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INDICE</w:t>
      </w: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3416F2" w:rsidRDefault="00DC11A3" w:rsidP="00DC11A3">
          <w:pPr>
            <w:pStyle w:val="TtulodeTDC"/>
            <w:rPr>
              <w:rFonts w:ascii="Palatino Linotype" w:hAnsi="Palatino Linotype"/>
              <w:b/>
              <w:color w:val="auto"/>
              <w:sz w:val="24"/>
            </w:rPr>
          </w:pPr>
          <w:r w:rsidRPr="003416F2">
            <w:rPr>
              <w:rFonts w:ascii="Palatino Linotype" w:hAnsi="Palatino Linotype"/>
              <w:b/>
              <w:color w:val="auto"/>
              <w:sz w:val="24"/>
              <w:lang w:val="es-ES"/>
            </w:rPr>
            <w:t>Contenido</w:t>
          </w:r>
        </w:p>
        <w:p w:rsidR="00791234"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524363489" w:history="1">
            <w:r w:rsidR="00791234" w:rsidRPr="00EB045C">
              <w:rPr>
                <w:rStyle w:val="Hipervnculo"/>
                <w:rFonts w:ascii="Palatino Linotype" w:hAnsi="Palatino Linotype"/>
                <w:b/>
                <w:noProof/>
              </w:rPr>
              <w:t>I.</w:t>
            </w:r>
            <w:r w:rsidR="00791234">
              <w:rPr>
                <w:rFonts w:eastAsiaTheme="minorEastAsia"/>
                <w:noProof/>
                <w:lang w:eastAsia="es-MX"/>
              </w:rPr>
              <w:tab/>
            </w:r>
            <w:r w:rsidR="00791234" w:rsidRPr="00EB045C">
              <w:rPr>
                <w:rStyle w:val="Hipervnculo"/>
                <w:rFonts w:ascii="Palatino Linotype" w:hAnsi="Palatino Linotype"/>
                <w:b/>
                <w:noProof/>
              </w:rPr>
              <w:t>Consideraciones generales.</w:t>
            </w:r>
            <w:r w:rsidR="00791234">
              <w:rPr>
                <w:noProof/>
                <w:webHidden/>
              </w:rPr>
              <w:tab/>
            </w:r>
            <w:r w:rsidR="00791234">
              <w:rPr>
                <w:noProof/>
                <w:webHidden/>
              </w:rPr>
              <w:fldChar w:fldCharType="begin"/>
            </w:r>
            <w:r w:rsidR="00791234">
              <w:rPr>
                <w:noProof/>
                <w:webHidden/>
              </w:rPr>
              <w:instrText xml:space="preserve"> PAGEREF _Toc524363489 \h </w:instrText>
            </w:r>
            <w:r w:rsidR="00791234">
              <w:rPr>
                <w:noProof/>
                <w:webHidden/>
              </w:rPr>
            </w:r>
            <w:r w:rsidR="00791234">
              <w:rPr>
                <w:noProof/>
                <w:webHidden/>
              </w:rPr>
              <w:fldChar w:fldCharType="separate"/>
            </w:r>
            <w:r w:rsidR="00791234">
              <w:rPr>
                <w:noProof/>
                <w:webHidden/>
              </w:rPr>
              <w:t>3</w:t>
            </w:r>
            <w:r w:rsidR="00791234">
              <w:rPr>
                <w:noProof/>
                <w:webHidden/>
              </w:rPr>
              <w:fldChar w:fldCharType="end"/>
            </w:r>
          </w:hyperlink>
        </w:p>
        <w:p w:rsidR="00791234" w:rsidRDefault="00E45E4F">
          <w:pPr>
            <w:pStyle w:val="TDC1"/>
            <w:tabs>
              <w:tab w:val="left" w:pos="660"/>
              <w:tab w:val="right" w:leader="dot" w:pos="8828"/>
            </w:tabs>
            <w:rPr>
              <w:rFonts w:eastAsiaTheme="minorEastAsia"/>
              <w:noProof/>
              <w:lang w:eastAsia="es-MX"/>
            </w:rPr>
          </w:pPr>
          <w:hyperlink w:anchor="_Toc524363490" w:history="1">
            <w:r w:rsidR="00791234" w:rsidRPr="00EB045C">
              <w:rPr>
                <w:rStyle w:val="Hipervnculo"/>
                <w:rFonts w:ascii="Palatino Linotype" w:hAnsi="Palatino Linotype"/>
                <w:b/>
                <w:noProof/>
              </w:rPr>
              <w:t>II.</w:t>
            </w:r>
            <w:r w:rsidR="00791234">
              <w:rPr>
                <w:rFonts w:eastAsiaTheme="minorEastAsia"/>
                <w:noProof/>
                <w:lang w:eastAsia="es-MX"/>
              </w:rPr>
              <w:tab/>
            </w:r>
            <w:r w:rsidR="00791234" w:rsidRPr="00EB045C">
              <w:rPr>
                <w:rStyle w:val="Hipervnculo"/>
                <w:rFonts w:ascii="Palatino Linotype" w:hAnsi="Palatino Linotype"/>
                <w:b/>
                <w:noProof/>
              </w:rPr>
              <w:t>La condición de definitividad de las resoluciones de los órganos garantes del derecho de acceso a la información pública.</w:t>
            </w:r>
            <w:r w:rsidR="00791234">
              <w:rPr>
                <w:noProof/>
                <w:webHidden/>
              </w:rPr>
              <w:tab/>
            </w:r>
            <w:r w:rsidR="00791234">
              <w:rPr>
                <w:noProof/>
                <w:webHidden/>
              </w:rPr>
              <w:fldChar w:fldCharType="begin"/>
            </w:r>
            <w:r w:rsidR="00791234">
              <w:rPr>
                <w:noProof/>
                <w:webHidden/>
              </w:rPr>
              <w:instrText xml:space="preserve"> PAGEREF _Toc524363490 \h </w:instrText>
            </w:r>
            <w:r w:rsidR="00791234">
              <w:rPr>
                <w:noProof/>
                <w:webHidden/>
              </w:rPr>
            </w:r>
            <w:r w:rsidR="00791234">
              <w:rPr>
                <w:noProof/>
                <w:webHidden/>
              </w:rPr>
              <w:fldChar w:fldCharType="separate"/>
            </w:r>
            <w:r w:rsidR="00791234">
              <w:rPr>
                <w:noProof/>
                <w:webHidden/>
              </w:rPr>
              <w:t>4</w:t>
            </w:r>
            <w:r w:rsidR="00791234">
              <w:rPr>
                <w:noProof/>
                <w:webHidden/>
              </w:rPr>
              <w:fldChar w:fldCharType="end"/>
            </w:r>
          </w:hyperlink>
        </w:p>
        <w:p w:rsidR="00791234" w:rsidRDefault="00E45E4F">
          <w:pPr>
            <w:pStyle w:val="TDC1"/>
            <w:tabs>
              <w:tab w:val="left" w:pos="660"/>
              <w:tab w:val="right" w:leader="dot" w:pos="8828"/>
            </w:tabs>
            <w:rPr>
              <w:rFonts w:eastAsiaTheme="minorEastAsia"/>
              <w:noProof/>
              <w:lang w:eastAsia="es-MX"/>
            </w:rPr>
          </w:pPr>
          <w:hyperlink w:anchor="_Toc524363491" w:history="1">
            <w:r w:rsidR="00791234" w:rsidRPr="00EB045C">
              <w:rPr>
                <w:rStyle w:val="Hipervnculo"/>
                <w:rFonts w:ascii="Palatino Linotype" w:hAnsi="Palatino Linotype"/>
                <w:b/>
                <w:noProof/>
                <w:lang w:val="es-ES"/>
              </w:rPr>
              <w:t>III.</w:t>
            </w:r>
            <w:r w:rsidR="00791234">
              <w:rPr>
                <w:rFonts w:eastAsiaTheme="minorEastAsia"/>
                <w:noProof/>
                <w:lang w:eastAsia="es-MX"/>
              </w:rPr>
              <w:tab/>
            </w:r>
            <w:r w:rsidR="00791234" w:rsidRPr="00EB045C">
              <w:rPr>
                <w:rStyle w:val="Hipervnculo"/>
                <w:rFonts w:ascii="Palatino Linotype" w:hAnsi="Palatino Linotype"/>
                <w:b/>
                <w:noProof/>
                <w:lang w:val="es-ES"/>
              </w:rPr>
              <w:t>La naturaleza de los Sujetos Obligados.</w:t>
            </w:r>
            <w:r w:rsidR="00791234">
              <w:rPr>
                <w:noProof/>
                <w:webHidden/>
              </w:rPr>
              <w:tab/>
            </w:r>
            <w:r w:rsidR="00791234">
              <w:rPr>
                <w:noProof/>
                <w:webHidden/>
              </w:rPr>
              <w:fldChar w:fldCharType="begin"/>
            </w:r>
            <w:r w:rsidR="00791234">
              <w:rPr>
                <w:noProof/>
                <w:webHidden/>
              </w:rPr>
              <w:instrText xml:space="preserve"> PAGEREF _Toc524363491 \h </w:instrText>
            </w:r>
            <w:r w:rsidR="00791234">
              <w:rPr>
                <w:noProof/>
                <w:webHidden/>
              </w:rPr>
            </w:r>
            <w:r w:rsidR="00791234">
              <w:rPr>
                <w:noProof/>
                <w:webHidden/>
              </w:rPr>
              <w:fldChar w:fldCharType="separate"/>
            </w:r>
            <w:r w:rsidR="00791234">
              <w:rPr>
                <w:noProof/>
                <w:webHidden/>
              </w:rPr>
              <w:t>7</w:t>
            </w:r>
            <w:r w:rsidR="00791234">
              <w:rPr>
                <w:noProof/>
                <w:webHidden/>
              </w:rPr>
              <w:fldChar w:fldCharType="end"/>
            </w:r>
          </w:hyperlink>
        </w:p>
        <w:p w:rsidR="00791234" w:rsidRDefault="00E45E4F">
          <w:pPr>
            <w:pStyle w:val="TDC1"/>
            <w:tabs>
              <w:tab w:val="left" w:pos="660"/>
              <w:tab w:val="right" w:leader="dot" w:pos="8828"/>
            </w:tabs>
            <w:rPr>
              <w:rFonts w:eastAsiaTheme="minorEastAsia"/>
              <w:noProof/>
              <w:lang w:eastAsia="es-MX"/>
            </w:rPr>
          </w:pPr>
          <w:hyperlink w:anchor="_Toc524363492" w:history="1">
            <w:r w:rsidR="00791234" w:rsidRPr="00EB045C">
              <w:rPr>
                <w:rStyle w:val="Hipervnculo"/>
                <w:rFonts w:ascii="Palatino Linotype" w:hAnsi="Palatino Linotype" w:cs="Arial"/>
                <w:b/>
                <w:noProof/>
                <w:lang w:val="es-ES"/>
              </w:rPr>
              <w:t>IV.</w:t>
            </w:r>
            <w:r w:rsidR="00791234">
              <w:rPr>
                <w:rFonts w:eastAsiaTheme="minorEastAsia"/>
                <w:noProof/>
                <w:lang w:eastAsia="es-MX"/>
              </w:rPr>
              <w:tab/>
            </w:r>
            <w:r w:rsidR="00791234" w:rsidRPr="00EB045C">
              <w:rPr>
                <w:rStyle w:val="Hipervnculo"/>
                <w:rFonts w:ascii="Palatino Linotype" w:hAnsi="Palatino Linotype"/>
                <w:b/>
                <w:noProof/>
                <w:lang w:val="es-ES"/>
              </w:rPr>
              <w:t>Problema y propuesta.</w:t>
            </w:r>
            <w:r w:rsidR="00791234">
              <w:rPr>
                <w:noProof/>
                <w:webHidden/>
              </w:rPr>
              <w:tab/>
            </w:r>
            <w:r w:rsidR="00791234">
              <w:rPr>
                <w:noProof/>
                <w:webHidden/>
              </w:rPr>
              <w:fldChar w:fldCharType="begin"/>
            </w:r>
            <w:r w:rsidR="00791234">
              <w:rPr>
                <w:noProof/>
                <w:webHidden/>
              </w:rPr>
              <w:instrText xml:space="preserve"> PAGEREF _Toc524363492 \h </w:instrText>
            </w:r>
            <w:r w:rsidR="00791234">
              <w:rPr>
                <w:noProof/>
                <w:webHidden/>
              </w:rPr>
            </w:r>
            <w:r w:rsidR="00791234">
              <w:rPr>
                <w:noProof/>
                <w:webHidden/>
              </w:rPr>
              <w:fldChar w:fldCharType="separate"/>
            </w:r>
            <w:r w:rsidR="00791234">
              <w:rPr>
                <w:noProof/>
                <w:webHidden/>
              </w:rPr>
              <w:t>14</w:t>
            </w:r>
            <w:r w:rsidR="00791234">
              <w:rPr>
                <w:noProof/>
                <w:webHidden/>
              </w:rPr>
              <w:fldChar w:fldCharType="end"/>
            </w:r>
          </w:hyperlink>
        </w:p>
        <w:p w:rsidR="00791234" w:rsidRDefault="00E45E4F">
          <w:pPr>
            <w:pStyle w:val="TDC1"/>
            <w:tabs>
              <w:tab w:val="right" w:leader="dot" w:pos="8828"/>
            </w:tabs>
            <w:rPr>
              <w:rFonts w:eastAsiaTheme="minorEastAsia"/>
              <w:noProof/>
              <w:lang w:eastAsia="es-MX"/>
            </w:rPr>
          </w:pPr>
          <w:hyperlink w:anchor="_Toc524363493" w:history="1">
            <w:r w:rsidR="00791234" w:rsidRPr="00EB045C">
              <w:rPr>
                <w:rStyle w:val="Hipervnculo"/>
                <w:rFonts w:ascii="Palatino Linotype" w:hAnsi="Palatino Linotype" w:cs="Arial"/>
                <w:b/>
                <w:noProof/>
              </w:rPr>
              <w:t>V. De la clasificación de la información de los numerales 1 y 3 de la solicitud de información como CONFIDENCIAL.</w:t>
            </w:r>
            <w:r w:rsidR="00791234">
              <w:rPr>
                <w:noProof/>
                <w:webHidden/>
              </w:rPr>
              <w:tab/>
            </w:r>
            <w:r w:rsidR="00791234">
              <w:rPr>
                <w:noProof/>
                <w:webHidden/>
              </w:rPr>
              <w:fldChar w:fldCharType="begin"/>
            </w:r>
            <w:r w:rsidR="00791234">
              <w:rPr>
                <w:noProof/>
                <w:webHidden/>
              </w:rPr>
              <w:instrText xml:space="preserve"> PAGEREF _Toc524363493 \h </w:instrText>
            </w:r>
            <w:r w:rsidR="00791234">
              <w:rPr>
                <w:noProof/>
                <w:webHidden/>
              </w:rPr>
            </w:r>
            <w:r w:rsidR="00791234">
              <w:rPr>
                <w:noProof/>
                <w:webHidden/>
              </w:rPr>
              <w:fldChar w:fldCharType="separate"/>
            </w:r>
            <w:r w:rsidR="00791234">
              <w:rPr>
                <w:noProof/>
                <w:webHidden/>
              </w:rPr>
              <w:t>18</w:t>
            </w:r>
            <w:r w:rsidR="00791234">
              <w:rPr>
                <w:noProof/>
                <w:webHidden/>
              </w:rPr>
              <w:fldChar w:fldCharType="end"/>
            </w:r>
          </w:hyperlink>
        </w:p>
        <w:p w:rsidR="00791234" w:rsidRDefault="00E45E4F">
          <w:pPr>
            <w:pStyle w:val="TDC1"/>
            <w:tabs>
              <w:tab w:val="left" w:pos="660"/>
              <w:tab w:val="right" w:leader="dot" w:pos="8828"/>
            </w:tabs>
            <w:rPr>
              <w:rFonts w:eastAsiaTheme="minorEastAsia"/>
              <w:noProof/>
              <w:lang w:eastAsia="es-MX"/>
            </w:rPr>
          </w:pPr>
          <w:hyperlink w:anchor="_Toc524363494" w:history="1">
            <w:r w:rsidR="00791234" w:rsidRPr="00EB045C">
              <w:rPr>
                <w:rStyle w:val="Hipervnculo"/>
                <w:rFonts w:ascii="Palatino Linotype" w:hAnsi="Palatino Linotype"/>
                <w:b/>
                <w:noProof/>
                <w:lang w:val="es-ES"/>
              </w:rPr>
              <w:t>V.</w:t>
            </w:r>
            <w:r w:rsidR="00791234">
              <w:rPr>
                <w:rFonts w:eastAsiaTheme="minorEastAsia"/>
                <w:noProof/>
                <w:lang w:eastAsia="es-MX"/>
              </w:rPr>
              <w:tab/>
            </w:r>
            <w:r w:rsidR="00791234" w:rsidRPr="00EB045C">
              <w:rPr>
                <w:rStyle w:val="Hipervnculo"/>
                <w:rFonts w:ascii="Palatino Linotype" w:hAnsi="Palatino Linotype"/>
                <w:b/>
                <w:noProof/>
                <w:lang w:val="es-ES"/>
              </w:rPr>
              <w:t>Conclusión.</w:t>
            </w:r>
            <w:r w:rsidR="00791234">
              <w:rPr>
                <w:noProof/>
                <w:webHidden/>
              </w:rPr>
              <w:tab/>
            </w:r>
            <w:r w:rsidR="00791234">
              <w:rPr>
                <w:noProof/>
                <w:webHidden/>
              </w:rPr>
              <w:fldChar w:fldCharType="begin"/>
            </w:r>
            <w:r w:rsidR="00791234">
              <w:rPr>
                <w:noProof/>
                <w:webHidden/>
              </w:rPr>
              <w:instrText xml:space="preserve"> PAGEREF _Toc524363494 \h </w:instrText>
            </w:r>
            <w:r w:rsidR="00791234">
              <w:rPr>
                <w:noProof/>
                <w:webHidden/>
              </w:rPr>
            </w:r>
            <w:r w:rsidR="00791234">
              <w:rPr>
                <w:noProof/>
                <w:webHidden/>
              </w:rPr>
              <w:fldChar w:fldCharType="separate"/>
            </w:r>
            <w:r w:rsidR="00791234">
              <w:rPr>
                <w:noProof/>
                <w:webHidden/>
              </w:rPr>
              <w:t>23</w:t>
            </w:r>
            <w:r w:rsidR="00791234">
              <w:rPr>
                <w:noProof/>
                <w:webHidden/>
              </w:rPr>
              <w:fldChar w:fldCharType="end"/>
            </w:r>
          </w:hyperlink>
        </w:p>
        <w:p w:rsidR="00DC11A3" w:rsidRDefault="00DC11A3" w:rsidP="00DC11A3">
          <w:pPr>
            <w:rPr>
              <w:b/>
              <w:bCs/>
              <w:lang w:val="es-ES"/>
            </w:rPr>
          </w:pPr>
          <w:r>
            <w:rPr>
              <w:b/>
              <w:bCs/>
              <w:lang w:val="es-ES"/>
            </w:rPr>
            <w:fldChar w:fldCharType="end"/>
          </w:r>
        </w:p>
      </w:sdtContent>
    </w:sdt>
    <w:p w:rsidR="00D63660" w:rsidRDefault="00D63660" w:rsidP="00DC11A3"/>
    <w:p w:rsidR="00D63660" w:rsidRDefault="00D63660" w:rsidP="00DC11A3"/>
    <w:p w:rsidR="00627CAE" w:rsidRPr="00DC11A3" w:rsidRDefault="00627CAE" w:rsidP="00DC11A3">
      <w:pPr>
        <w:pStyle w:val="Ttulo1"/>
        <w:numPr>
          <w:ilvl w:val="0"/>
          <w:numId w:val="16"/>
        </w:numPr>
        <w:rPr>
          <w:rFonts w:ascii="Palatino Linotype" w:hAnsi="Palatino Linotype"/>
          <w:b/>
          <w:color w:val="auto"/>
          <w:sz w:val="24"/>
        </w:rPr>
      </w:pPr>
      <w:bookmarkStart w:id="0" w:name="_Toc524363489"/>
      <w:r w:rsidRPr="00DC11A3">
        <w:rPr>
          <w:rFonts w:ascii="Palatino Linotype" w:hAnsi="Palatino Linotype"/>
          <w:b/>
          <w:color w:val="auto"/>
          <w:sz w:val="24"/>
        </w:rPr>
        <w:lastRenderedPageBreak/>
        <w:t>Consideraciones generales.</w:t>
      </w:r>
      <w:bookmarkEnd w:id="0"/>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5219C4">
        <w:rPr>
          <w:rFonts w:ascii="Palatino Linotype" w:hAnsi="Palatino Linotype" w:cs="Arial"/>
          <w:sz w:val="24"/>
          <w:szCs w:val="24"/>
        </w:rPr>
        <w:t>Trigésimo Segunda</w:t>
      </w:r>
      <w:r w:rsidR="004B6A69">
        <w:rPr>
          <w:rFonts w:ascii="Palatino Linotype" w:hAnsi="Palatino Linotype" w:cs="Arial"/>
          <w:sz w:val="24"/>
          <w:szCs w:val="24"/>
        </w:rPr>
        <w:t xml:space="preserve"> </w:t>
      </w:r>
      <w:r w:rsidRPr="0037358E">
        <w:rPr>
          <w:rFonts w:ascii="Palatino Linotype" w:hAnsi="Palatino Linotype" w:cs="Arial"/>
          <w:sz w:val="24"/>
          <w:szCs w:val="24"/>
        </w:rPr>
        <w:t xml:space="preserve">sesión ordinaria llevada a cabo el </w:t>
      </w:r>
      <w:r w:rsidR="005219C4">
        <w:rPr>
          <w:rFonts w:ascii="Palatino Linotype" w:hAnsi="Palatino Linotype" w:cs="Arial"/>
          <w:sz w:val="24"/>
          <w:szCs w:val="24"/>
        </w:rPr>
        <w:t>cinco</w:t>
      </w:r>
      <w:r w:rsidRPr="0037358E">
        <w:rPr>
          <w:rFonts w:ascii="Palatino Linotype" w:hAnsi="Palatino Linotype" w:cs="Arial"/>
          <w:sz w:val="24"/>
          <w:szCs w:val="24"/>
        </w:rPr>
        <w:t xml:space="preserve"> (</w:t>
      </w:r>
      <w:r w:rsidR="005219C4">
        <w:rPr>
          <w:rFonts w:ascii="Palatino Linotype" w:hAnsi="Palatino Linotype" w:cs="Arial"/>
          <w:sz w:val="24"/>
          <w:szCs w:val="24"/>
        </w:rPr>
        <w:t>05</w:t>
      </w:r>
      <w:r w:rsidRPr="0037358E">
        <w:rPr>
          <w:rFonts w:ascii="Palatino Linotype" w:hAnsi="Palatino Linotype" w:cs="Arial"/>
          <w:sz w:val="24"/>
          <w:szCs w:val="24"/>
        </w:rPr>
        <w:t xml:space="preserve">) de </w:t>
      </w:r>
      <w:r w:rsidR="00791234">
        <w:rPr>
          <w:rFonts w:ascii="Palatino Linotype" w:hAnsi="Palatino Linotype" w:cs="Arial"/>
          <w:sz w:val="24"/>
          <w:szCs w:val="24"/>
        </w:rPr>
        <w:t>septiembre</w:t>
      </w:r>
      <w:r w:rsidRPr="0037358E">
        <w:rPr>
          <w:rFonts w:ascii="Palatino Linotype" w:hAnsi="Palatino Linotype" w:cs="Arial"/>
          <w:sz w:val="24"/>
          <w:szCs w:val="24"/>
        </w:rPr>
        <w:t xml:space="preserve"> del año en curso, en el recurso de revisión promovido por </w:t>
      </w:r>
      <w:r w:rsidR="00E45E4F" w:rsidRPr="00E45E4F">
        <w:rPr>
          <w:rFonts w:ascii="Palatino Linotype" w:hAnsi="Palatino Linotype" w:cs="Arial"/>
          <w:b/>
          <w:sz w:val="24"/>
          <w:szCs w:val="24"/>
          <w:highlight w:val="black"/>
        </w:rPr>
        <w:t>---------------------------</w:t>
      </w:r>
      <w:r w:rsidR="00400EB2">
        <w:rPr>
          <w:rFonts w:ascii="Palatino Linotype" w:hAnsi="Palatino Linotype" w:cs="Arial"/>
          <w:b/>
          <w:sz w:val="24"/>
          <w:szCs w:val="24"/>
        </w:rPr>
        <w:t xml:space="preserve">, </w:t>
      </w:r>
      <w:r w:rsidRPr="0037358E">
        <w:rPr>
          <w:rFonts w:ascii="Palatino Linotype" w:hAnsi="Palatino Linotype" w:cs="Arial"/>
          <w:sz w:val="24"/>
          <w:szCs w:val="24"/>
        </w:rPr>
        <w:t>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w:t>
      </w:r>
      <w:r w:rsidR="005219C4">
        <w:rPr>
          <w:rFonts w:ascii="Palatino Linotype" w:hAnsi="Palatino Linotype" w:cs="Arial"/>
          <w:sz w:val="24"/>
          <w:szCs w:val="24"/>
        </w:rPr>
        <w:t xml:space="preserve"> </w:t>
      </w:r>
      <w:r w:rsidRPr="0037358E">
        <w:rPr>
          <w:rFonts w:ascii="Palatino Linotype" w:hAnsi="Palatino Linotype" w:cs="Arial"/>
          <w:sz w:val="24"/>
          <w:szCs w:val="24"/>
        </w:rPr>
        <w:t>l</w:t>
      </w:r>
      <w:r w:rsidR="005219C4">
        <w:rPr>
          <w:rFonts w:ascii="Palatino Linotype" w:hAnsi="Palatino Linotype" w:cs="Arial"/>
          <w:sz w:val="24"/>
          <w:szCs w:val="24"/>
        </w:rPr>
        <w:t>a</w:t>
      </w:r>
      <w:r w:rsidRPr="0037358E">
        <w:rPr>
          <w:rFonts w:ascii="Palatino Linotype" w:hAnsi="Palatino Linotype" w:cs="Arial"/>
          <w:sz w:val="24"/>
          <w:szCs w:val="24"/>
        </w:rPr>
        <w:t xml:space="preserve"> </w:t>
      </w:r>
      <w:r w:rsidR="005219C4">
        <w:rPr>
          <w:rFonts w:ascii="Palatino Linotype" w:hAnsi="Palatino Linotype" w:cs="Arial"/>
          <w:b/>
          <w:sz w:val="24"/>
          <w:szCs w:val="24"/>
        </w:rPr>
        <w:t>Universidad Politécnica del Valle de Toluca</w:t>
      </w:r>
      <w:r w:rsidR="004B6A69">
        <w:rPr>
          <w:rFonts w:ascii="Palatino Linotype" w:hAnsi="Palatino Linotype" w:cs="Arial"/>
          <w:sz w:val="24"/>
          <w:szCs w:val="24"/>
        </w:rPr>
        <w:t>,</w:t>
      </w:r>
      <w:r w:rsidRPr="0037358E">
        <w:rPr>
          <w:rFonts w:ascii="Palatino Linotype" w:hAnsi="Palatino Linotype" w:cs="Arial"/>
          <w:sz w:val="24"/>
          <w:szCs w:val="24"/>
        </w:rPr>
        <w:t xml:space="preserve"> procedimiento al que se le </w:t>
      </w:r>
      <w:r w:rsidR="004B6A69">
        <w:rPr>
          <w:rFonts w:ascii="Palatino Linotype" w:hAnsi="Palatino Linotype" w:cs="Arial"/>
          <w:sz w:val="24"/>
          <w:szCs w:val="24"/>
        </w:rPr>
        <w:t>asignó el número de expediente</w:t>
      </w:r>
      <w:r w:rsidRPr="0037358E">
        <w:rPr>
          <w:rFonts w:ascii="Palatino Linotype" w:hAnsi="Palatino Linotype" w:cs="Arial"/>
          <w:sz w:val="24"/>
          <w:szCs w:val="24"/>
        </w:rPr>
        <w:t xml:space="preserve"> señalado</w:t>
      </w:r>
      <w:r w:rsidR="004B6A69">
        <w:rPr>
          <w:rFonts w:ascii="Palatino Linotype" w:hAnsi="Palatino Linotype" w:cs="Arial"/>
          <w:sz w:val="24"/>
          <w:szCs w:val="24"/>
        </w:rPr>
        <w:t xml:space="preserve"> al rubro</w:t>
      </w:r>
      <w:r w:rsidRPr="0037358E">
        <w:rPr>
          <w:rFonts w:ascii="Palatino Linotype" w:hAnsi="Palatino Linotype" w:cs="Arial"/>
          <w:sz w:val="24"/>
          <w:szCs w:val="24"/>
        </w:rPr>
        <w:t>.</w:t>
      </w:r>
    </w:p>
    <w:p w:rsidR="00627CAE" w:rsidRPr="0037358E" w:rsidRDefault="00627CAE" w:rsidP="00627CAE">
      <w:pPr>
        <w:pStyle w:val="Prrafodelista"/>
        <w:spacing w:after="0" w:line="360" w:lineRule="auto"/>
        <w:ind w:left="0"/>
        <w:jc w:val="both"/>
        <w:rPr>
          <w:rFonts w:ascii="Palatino Linotype" w:hAnsi="Palatino Linotype" w:cs="Arial"/>
          <w:sz w:val="24"/>
          <w:szCs w:val="24"/>
        </w:rPr>
      </w:pPr>
    </w:p>
    <w:p w:rsidR="00627CAE" w:rsidRPr="00790A44" w:rsidRDefault="00627CAE" w:rsidP="00790A44">
      <w:pPr>
        <w:pStyle w:val="Prrafodelista"/>
        <w:numPr>
          <w:ilvl w:val="0"/>
          <w:numId w:val="1"/>
        </w:numPr>
        <w:spacing w:before="240" w:after="240" w:line="360" w:lineRule="auto"/>
        <w:ind w:left="426"/>
        <w:jc w:val="both"/>
        <w:rPr>
          <w:rFonts w:ascii="Palatino Linotype" w:hAnsi="Palatino Linotype" w:cs="Arial"/>
          <w:sz w:val="24"/>
          <w:szCs w:val="24"/>
        </w:rPr>
      </w:pPr>
      <w:r w:rsidRPr="00790A44">
        <w:rPr>
          <w:rFonts w:ascii="Palatino Linotype" w:hAnsi="Palatino Linotype" w:cs="Arial"/>
          <w:sz w:val="24"/>
          <w:szCs w:val="24"/>
        </w:rPr>
        <w:t xml:space="preserve"> La resolución </w:t>
      </w:r>
      <w:r w:rsidR="00400EB2" w:rsidRPr="00790A44">
        <w:rPr>
          <w:rFonts w:ascii="Palatino Linotype" w:hAnsi="Palatino Linotype" w:cs="Arial"/>
          <w:sz w:val="24"/>
          <w:szCs w:val="24"/>
        </w:rPr>
        <w:t xml:space="preserve">puntualmente determina </w:t>
      </w:r>
      <w:r w:rsidR="00E452A1" w:rsidRPr="00790A44">
        <w:rPr>
          <w:rFonts w:ascii="Palatino Linotype" w:hAnsi="Palatino Linotype" w:cs="Arial"/>
          <w:b/>
          <w:sz w:val="24"/>
          <w:szCs w:val="24"/>
        </w:rPr>
        <w:t>MODIFICAR</w:t>
      </w:r>
      <w:r w:rsidR="00550FAF" w:rsidRPr="00790A44">
        <w:rPr>
          <w:rFonts w:ascii="Palatino Linotype" w:hAnsi="Palatino Linotype" w:cs="Arial"/>
          <w:sz w:val="24"/>
          <w:szCs w:val="24"/>
        </w:rPr>
        <w:t xml:space="preserve"> </w:t>
      </w:r>
      <w:r w:rsidR="00400EB2" w:rsidRPr="00790A44">
        <w:rPr>
          <w:rFonts w:ascii="Palatino Linotype" w:hAnsi="Palatino Linotype" w:cs="Arial"/>
          <w:sz w:val="24"/>
          <w:szCs w:val="24"/>
        </w:rPr>
        <w:t xml:space="preserve">el recurso de revisión </w:t>
      </w:r>
      <w:r w:rsidR="00790A44" w:rsidRPr="00790A44">
        <w:rPr>
          <w:rFonts w:ascii="Palatino Linotype" w:hAnsi="Palatino Linotype" w:cs="Arial"/>
          <w:b/>
          <w:sz w:val="24"/>
          <w:szCs w:val="24"/>
        </w:rPr>
        <w:t>02279</w:t>
      </w:r>
      <w:r w:rsidR="00400EB2" w:rsidRPr="00790A44">
        <w:rPr>
          <w:rFonts w:ascii="Palatino Linotype" w:hAnsi="Palatino Linotype" w:cs="Arial"/>
          <w:b/>
          <w:sz w:val="24"/>
          <w:szCs w:val="24"/>
        </w:rPr>
        <w:t>/INFOEM/IP/RR/2018</w:t>
      </w:r>
      <w:r w:rsidRPr="00790A44">
        <w:rPr>
          <w:rFonts w:ascii="Palatino Linotype" w:eastAsia="Times New Roman" w:hAnsi="Palatino Linotype" w:cs="Arial"/>
          <w:sz w:val="24"/>
          <w:szCs w:val="24"/>
        </w:rPr>
        <w:t xml:space="preserve">. </w:t>
      </w:r>
      <w:r w:rsidR="00790A44" w:rsidRPr="00790A44">
        <w:rPr>
          <w:rFonts w:ascii="Palatino Linotype" w:eastAsia="Times New Roman" w:hAnsi="Palatino Linotype" w:cs="Arial"/>
          <w:sz w:val="24"/>
          <w:szCs w:val="24"/>
        </w:rPr>
        <w:t xml:space="preserve">Y en su resolutivo </w:t>
      </w:r>
      <w:r w:rsidR="00790A44">
        <w:rPr>
          <w:rFonts w:ascii="Palatino Linotype" w:eastAsia="Times New Roman" w:hAnsi="Palatino Linotype" w:cs="Arial"/>
          <w:sz w:val="24"/>
          <w:szCs w:val="24"/>
        </w:rPr>
        <w:t>Cuarto</w:t>
      </w:r>
      <w:r w:rsidRPr="00790A44">
        <w:rPr>
          <w:rFonts w:ascii="Palatino Linotype" w:eastAsia="Times New Roman" w:hAnsi="Palatino Linotype" w:cs="Arial"/>
          <w:sz w:val="24"/>
          <w:szCs w:val="24"/>
        </w:rPr>
        <w:t xml:space="preserve"> informa </w:t>
      </w:r>
      <w:r w:rsidR="00DC11A3" w:rsidRPr="00790A44">
        <w:rPr>
          <w:rFonts w:ascii="Palatino Linotype" w:eastAsia="Times New Roman" w:hAnsi="Palatino Linotype" w:cs="Arial"/>
          <w:sz w:val="24"/>
          <w:szCs w:val="24"/>
        </w:rPr>
        <w:t>a</w:t>
      </w:r>
      <w:r w:rsidR="00400EB2" w:rsidRPr="00790A44">
        <w:rPr>
          <w:rFonts w:ascii="Palatino Linotype" w:eastAsia="Times New Roman" w:hAnsi="Palatino Linotype" w:cs="Arial"/>
          <w:sz w:val="24"/>
          <w:szCs w:val="24"/>
        </w:rPr>
        <w:t>l</w:t>
      </w:r>
      <w:r w:rsidR="00DC11A3" w:rsidRPr="00790A44">
        <w:rPr>
          <w:rFonts w:ascii="Palatino Linotype" w:eastAsia="Times New Roman" w:hAnsi="Palatino Linotype" w:cs="Arial"/>
          <w:sz w:val="24"/>
          <w:szCs w:val="24"/>
        </w:rPr>
        <w:t xml:space="preserve"> </w:t>
      </w:r>
      <w:r w:rsidR="00E452A1" w:rsidRPr="00790A44">
        <w:rPr>
          <w:rFonts w:ascii="Palatino Linotype" w:eastAsia="Times New Roman" w:hAnsi="Palatino Linotype" w:cs="Arial"/>
          <w:b/>
          <w:sz w:val="24"/>
          <w:szCs w:val="24"/>
        </w:rPr>
        <w:t>RECURRENTE</w:t>
      </w:r>
      <w:r w:rsidR="002F6C44" w:rsidRPr="00790A44">
        <w:rPr>
          <w:rFonts w:ascii="Palatino Linotype" w:eastAsia="Times New Roman" w:hAnsi="Palatino Linotype" w:cs="Arial"/>
          <w:sz w:val="24"/>
          <w:szCs w:val="24"/>
        </w:rPr>
        <w:t xml:space="preserve"> que, </w:t>
      </w:r>
      <w:r w:rsidRPr="00790A44">
        <w:rPr>
          <w:rFonts w:ascii="Palatino Linotype" w:eastAsia="Times New Roman" w:hAnsi="Palatino Linotype" w:cs="Arial"/>
          <w:sz w:val="24"/>
          <w:szCs w:val="24"/>
        </w:rPr>
        <w:t>“</w:t>
      </w:r>
      <w:r w:rsidR="00550FAF" w:rsidRPr="00790A44">
        <w:rPr>
          <w:rFonts w:ascii="Palatino Linotype" w:eastAsia="Times New Roman" w:hAnsi="Palatino Linotype" w:cs="Arial"/>
          <w:sz w:val="24"/>
          <w:szCs w:val="24"/>
        </w:rPr>
        <w:t xml:space="preserve">(…) </w:t>
      </w:r>
      <w:r w:rsidR="002F6C44" w:rsidRPr="00790A44">
        <w:rPr>
          <w:rFonts w:ascii="Palatino Linotype" w:eastAsia="Times New Roman" w:hAnsi="Palatino Linotype" w:cs="Arial"/>
          <w:sz w:val="24"/>
          <w:szCs w:val="24"/>
        </w:rPr>
        <w:t xml:space="preserve">de conformidad con lo establecido en el artículo 196 de la Ley de Transparencia y Acceso a la Información Pública del Estado de México y Municipios, </w:t>
      </w:r>
      <w:r w:rsidR="00790A44" w:rsidRPr="00790A44">
        <w:rPr>
          <w:rFonts w:ascii="Palatino Linotype" w:eastAsia="Times New Roman" w:hAnsi="Palatino Linotype" w:cs="Arial"/>
          <w:sz w:val="24"/>
          <w:szCs w:val="24"/>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790A44">
        <w:rPr>
          <w:rFonts w:ascii="Palatino Linotype" w:eastAsia="Times New Roman" w:hAnsi="Palatino Linotype" w:cs="Arial"/>
          <w:sz w:val="24"/>
          <w:szCs w:val="24"/>
        </w:rPr>
        <w:t>”</w:t>
      </w:r>
      <w:r w:rsidRPr="00790A44">
        <w:rPr>
          <w:rFonts w:ascii="Palatino Linotype" w:hAnsi="Palatino Linotype" w:cs="Arial"/>
          <w:sz w:val="24"/>
          <w:szCs w:val="24"/>
        </w:rPr>
        <w:t xml:space="preserve">. Sobre dicho resolutivo es que me aparto </w:t>
      </w:r>
      <w:r w:rsidR="003416F2" w:rsidRPr="00790A44">
        <w:rPr>
          <w:rFonts w:ascii="Palatino Linotype" w:hAnsi="Palatino Linotype" w:cs="Arial"/>
          <w:sz w:val="24"/>
          <w:szCs w:val="24"/>
        </w:rPr>
        <w:t>del resto de mis compañero</w:t>
      </w:r>
      <w:r w:rsidR="00E452A1" w:rsidRPr="00790A44">
        <w:rPr>
          <w:rFonts w:ascii="Palatino Linotype" w:hAnsi="Palatino Linotype" w:cs="Arial"/>
          <w:sz w:val="24"/>
          <w:szCs w:val="24"/>
        </w:rPr>
        <w:t>s C</w:t>
      </w:r>
      <w:r w:rsidR="002F6C44" w:rsidRPr="00790A44">
        <w:rPr>
          <w:rFonts w:ascii="Palatino Linotype" w:hAnsi="Palatino Linotype" w:cs="Arial"/>
          <w:sz w:val="24"/>
          <w:szCs w:val="24"/>
        </w:rPr>
        <w:t>omisionados integrantes del P</w:t>
      </w:r>
      <w:r w:rsidR="003416F2" w:rsidRPr="00790A44">
        <w:rPr>
          <w:rFonts w:ascii="Palatino Linotype" w:hAnsi="Palatino Linotype" w:cs="Arial"/>
          <w:sz w:val="24"/>
          <w:szCs w:val="24"/>
        </w:rPr>
        <w:t xml:space="preserve">leno, </w:t>
      </w:r>
      <w:r w:rsidRPr="00790A44">
        <w:rPr>
          <w:rFonts w:ascii="Palatino Linotype" w:hAnsi="Palatino Linotype" w:cs="Arial"/>
          <w:sz w:val="24"/>
          <w:szCs w:val="24"/>
        </w:rPr>
        <w:t xml:space="preserve">ya que si bien esa fórmula es generalmente empleada en las resoluciones, resulta ser una decisión inadecuada para el presente caso en particular. </w:t>
      </w: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lastRenderedPageBreak/>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1" w:name="_Toc524363490"/>
      <w:r w:rsidRPr="00DC11A3">
        <w:rPr>
          <w:rFonts w:ascii="Palatino Linotype" w:hAnsi="Palatino Linotype"/>
          <w:b/>
          <w:color w:val="auto"/>
          <w:sz w:val="24"/>
        </w:rPr>
        <w:t>La condición de definitividad de las resoluciones de los órganos garantes del derecho de acceso a la información pública.</w:t>
      </w:r>
      <w:bookmarkEnd w:id="1"/>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w:t>
      </w:r>
      <w:r w:rsidR="00AE23AA">
        <w:rPr>
          <w:rFonts w:ascii="Palatino Linotype" w:hAnsi="Palatino Linotype" w:cs="Arial"/>
          <w:sz w:val="24"/>
          <w:szCs w:val="24"/>
        </w:rPr>
        <w:t>e emitimos otorgan la razón al r</w:t>
      </w:r>
      <w:r w:rsidRPr="0037358E">
        <w:rPr>
          <w:rFonts w:ascii="Palatino Linotype" w:hAnsi="Palatino Linotype" w:cs="Arial"/>
          <w:sz w:val="24"/>
          <w:szCs w:val="24"/>
        </w:rPr>
        <w:t xml:space="preserve">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w:t>
      </w:r>
      <w:r w:rsidRPr="0037358E">
        <w:rPr>
          <w:rFonts w:ascii="Palatino Linotype" w:hAnsi="Palatino Linotype" w:cs="Arial"/>
          <w:sz w:val="24"/>
          <w:szCs w:val="24"/>
        </w:rPr>
        <w:lastRenderedPageBreak/>
        <w:t>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w:t>
      </w:r>
      <w:r w:rsidR="00550FAF" w:rsidRPr="00550FAF">
        <w:rPr>
          <w:rFonts w:ascii="Palatino Linotype" w:hAnsi="Palatino Linotype" w:cs="Arial"/>
          <w:b/>
          <w:sz w:val="24"/>
          <w:szCs w:val="24"/>
        </w:rPr>
        <w:t xml:space="preserve">SUJETO OBLIGADO </w:t>
      </w:r>
      <w:r w:rsidRPr="0037358E">
        <w:rPr>
          <w:rFonts w:ascii="Palatino Linotype" w:hAnsi="Palatino Linotype" w:cs="Arial"/>
          <w:sz w:val="24"/>
          <w:szCs w:val="24"/>
        </w:rPr>
        <w:t xml:space="preserve">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w:t>
      </w:r>
      <w:r w:rsidRPr="00F7738C">
        <w:rPr>
          <w:rFonts w:ascii="Palatino Linotype" w:hAnsi="Palatino Linotype" w:cs="Arial"/>
          <w:i/>
          <w:color w:val="000000" w:themeColor="text1"/>
          <w:lang w:val="es-ES"/>
        </w:rPr>
        <w:lastRenderedPageBreak/>
        <w:t xml:space="preserve">de incumpliendo, entonces, se activa la intervención de un órgano garante  (IFAI) que asegure la protección de derecho en cuestión. Un esquema clásico: derechos, obligaciones y garantías.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27CA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Hasta este momento, nadie duda que ese es el efecto que la disposición constitucional y legal procura al determinar la definitividad de nuestras resoluciones en el caso de los Sujetos Obligados. Pero el caso que se resuelve en </w:t>
      </w:r>
      <w:r w:rsidRPr="0037358E">
        <w:rPr>
          <w:rFonts w:ascii="Palatino Linotype" w:hAnsi="Palatino Linotype" w:cs="Arial"/>
          <w:sz w:val="24"/>
          <w:szCs w:val="24"/>
        </w:rPr>
        <w:lastRenderedPageBreak/>
        <w:t>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2" w:name="_Toc524363491"/>
      <w:r w:rsidRPr="00DC11A3">
        <w:rPr>
          <w:rFonts w:ascii="Palatino Linotype" w:hAnsi="Palatino Linotype"/>
          <w:b/>
          <w:color w:val="auto"/>
          <w:sz w:val="24"/>
          <w:lang w:val="es-ES"/>
        </w:rPr>
        <w:t>La naturaleza de los Sujetos Obligados.</w:t>
      </w:r>
      <w:bookmarkEnd w:id="2"/>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w:t>
      </w:r>
      <w:r w:rsidR="00790A44">
        <w:rPr>
          <w:rFonts w:ascii="Palatino Linotype" w:hAnsi="Palatino Linotype" w:cs="Arial"/>
          <w:color w:val="000000" w:themeColor="text1"/>
          <w:sz w:val="24"/>
          <w:szCs w:val="24"/>
          <w:lang w:val="es-ES"/>
        </w:rPr>
        <w:t>dos mil catorce</w:t>
      </w:r>
      <w:r w:rsidRPr="0037358E">
        <w:rPr>
          <w:rFonts w:ascii="Palatino Linotype" w:hAnsi="Palatino Linotype" w:cs="Arial"/>
          <w:color w:val="000000" w:themeColor="text1"/>
          <w:sz w:val="24"/>
          <w:szCs w:val="24"/>
          <w:lang w:val="es-ES"/>
        </w:rPr>
        <w:t xml:space="preserve">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w:t>
      </w:r>
      <w:r w:rsidRPr="00790A44">
        <w:rPr>
          <w:rFonts w:ascii="Palatino Linotype" w:hAnsi="Palatino Linotype" w:cs="Arial"/>
          <w:b/>
          <w:color w:val="000000" w:themeColor="text1"/>
          <w:sz w:val="24"/>
          <w:szCs w:val="24"/>
          <w:lang w:val="es-ES"/>
        </w:rPr>
        <w:t>sindicatos</w:t>
      </w:r>
      <w:r w:rsidRPr="0037358E">
        <w:rPr>
          <w:rFonts w:ascii="Palatino Linotype" w:hAnsi="Palatino Linotype" w:cs="Arial"/>
          <w:color w:val="000000" w:themeColor="text1"/>
          <w:sz w:val="24"/>
          <w:szCs w:val="24"/>
          <w:lang w:val="es-ES"/>
        </w:rPr>
        <w:t xml:space="preserve">,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790A44">
        <w:rPr>
          <w:rFonts w:ascii="Palatino Linotype" w:hAnsi="Palatino Linotype" w:cs="Arial"/>
          <w:b/>
          <w:i/>
          <w:color w:val="000000" w:themeColor="text1"/>
          <w:szCs w:val="24"/>
          <w:lang w:val="es-ES"/>
        </w:rPr>
        <w:t xml:space="preserve">PRINCIPIO DE INTERPRETACIÓN MÁS FAVORABLE A LA PERSONA. ES APLICABLE RESPECTO DE LAS NORMAS RELATIVAS A LOS DERECHOS </w:t>
      </w:r>
      <w:r w:rsidRPr="00790A44">
        <w:rPr>
          <w:rFonts w:ascii="Palatino Linotype" w:hAnsi="Palatino Linotype" w:cs="Arial"/>
          <w:b/>
          <w:i/>
          <w:color w:val="000000" w:themeColor="text1"/>
          <w:szCs w:val="24"/>
          <w:lang w:val="es-ES"/>
        </w:rPr>
        <w:lastRenderedPageBreak/>
        <w:t>HUMANOS DE LOS QUE SEAN TITULARES LAS PERSONAS MORALES.</w:t>
      </w:r>
      <w:r w:rsidRPr="00B67CCF">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w:t>
      </w:r>
      <w:r w:rsidR="00550FAF">
        <w:rPr>
          <w:rFonts w:ascii="Palatino Linotype" w:hAnsi="Palatino Linotype" w:cs="Arial"/>
          <w:color w:val="000000" w:themeColor="text1"/>
          <w:sz w:val="24"/>
          <w:szCs w:val="24"/>
          <w:lang w:val="es-ES"/>
        </w:rPr>
        <w:t>T</w:t>
      </w:r>
      <w:r w:rsidRPr="0037358E">
        <w:rPr>
          <w:rFonts w:ascii="Palatino Linotype" w:hAnsi="Palatino Linotype" w:cs="Arial"/>
          <w:color w:val="000000" w:themeColor="text1"/>
          <w:sz w:val="24"/>
          <w:szCs w:val="24"/>
          <w:lang w:val="es-ES"/>
        </w:rPr>
        <w: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790A44">
        <w:rPr>
          <w:rFonts w:ascii="Palatino Linotype" w:hAnsi="Palatino Linotype" w:cs="Arial"/>
          <w:b/>
          <w:i/>
          <w:color w:val="000000" w:themeColor="text1"/>
          <w:szCs w:val="24"/>
          <w:lang w:val="es-ES"/>
        </w:rPr>
        <w:lastRenderedPageBreak/>
        <w:t>PERSONAS MORALES. SON SUSCEPTIBLES DE LA PROTECCIÓN DE LOS DERECHOS HUMANOS, AL ESTAR INTEGRADAS POR PERSONAS FÍSICAS Y POR TENER EL CARÁCTER DE PARTE EN EL JUICIO DE AMPARO.</w:t>
      </w:r>
      <w:r w:rsidRPr="003416F2">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w:t>
      </w:r>
      <w:r w:rsidRPr="0037358E">
        <w:rPr>
          <w:rFonts w:ascii="Palatino Linotype" w:hAnsi="Palatino Linotype" w:cs="Arial"/>
          <w:color w:val="000000" w:themeColor="text1"/>
          <w:sz w:val="24"/>
          <w:szCs w:val="24"/>
          <w:lang w:val="es-ES"/>
        </w:rPr>
        <w:lastRenderedPageBreak/>
        <w:t xml:space="preserve">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w:t>
      </w:r>
      <w:r w:rsidR="002F6C44">
        <w:rPr>
          <w:rFonts w:ascii="Palatino Linotype" w:hAnsi="Palatino Linotype" w:cs="Arial"/>
          <w:color w:val="000000" w:themeColor="text1"/>
          <w:sz w:val="24"/>
          <w:szCs w:val="24"/>
          <w:lang w:val="es-ES"/>
        </w:rPr>
        <w:t>Ó</w:t>
      </w:r>
      <w:r w:rsidRPr="0037358E">
        <w:rPr>
          <w:rFonts w:ascii="Palatino Linotype" w:hAnsi="Palatino Linotype" w:cs="Arial"/>
          <w:color w:val="000000" w:themeColor="text1"/>
          <w:sz w:val="24"/>
          <w:szCs w:val="24"/>
          <w:lang w:val="es-ES"/>
        </w:rPr>
        <w:t xml:space="preserve">rgano </w:t>
      </w:r>
      <w:r w:rsidR="002F6C44">
        <w:rPr>
          <w:rFonts w:ascii="Palatino Linotype" w:hAnsi="Palatino Linotype" w:cs="Arial"/>
          <w:color w:val="000000" w:themeColor="text1"/>
          <w:sz w:val="24"/>
          <w:szCs w:val="24"/>
          <w:lang w:val="es-ES"/>
        </w:rPr>
        <w:t>G</w:t>
      </w:r>
      <w:r w:rsidRPr="0037358E">
        <w:rPr>
          <w:rFonts w:ascii="Palatino Linotype" w:hAnsi="Palatino Linotype" w:cs="Arial"/>
          <w:color w:val="000000" w:themeColor="text1"/>
          <w:sz w:val="24"/>
          <w:szCs w:val="24"/>
          <w:lang w:val="es-ES"/>
        </w:rPr>
        <w:t>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Así que frente a esta antinomia jurídica, el </w:t>
      </w:r>
      <w:r w:rsidR="002F6C44">
        <w:rPr>
          <w:rFonts w:ascii="Palatino Linotype" w:hAnsi="Palatino Linotype" w:cs="Arial"/>
          <w:color w:val="000000" w:themeColor="text1"/>
          <w:sz w:val="24"/>
          <w:szCs w:val="24"/>
          <w:lang w:val="es-ES"/>
        </w:rPr>
        <w:t>Órgano G</w:t>
      </w:r>
      <w:r w:rsidRPr="0037358E">
        <w:rPr>
          <w:rFonts w:ascii="Palatino Linotype" w:hAnsi="Palatino Linotype" w:cs="Arial"/>
          <w:color w:val="000000" w:themeColor="text1"/>
          <w:sz w:val="24"/>
          <w:szCs w:val="24"/>
          <w:lang w:val="es-ES"/>
        </w:rPr>
        <w:t>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el Caso Castañeda Gutman contra Estados Unidos Mexicanos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sus párrafos 100 y 101 que señalan:</w:t>
      </w: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irrazonable establecer dicha garantía judicial si se exigiera a los justiciables saber </w:t>
      </w:r>
      <w:r w:rsidRPr="0037358E">
        <w:rPr>
          <w:rFonts w:ascii="Palatino Linotype" w:hAnsi="Palatino Linotype" w:cs="Arial"/>
          <w:i/>
          <w:color w:val="000000" w:themeColor="text1"/>
          <w:sz w:val="24"/>
          <w:szCs w:val="24"/>
          <w:lang w:val="es-ES"/>
        </w:rPr>
        <w:lastRenderedPageBreak/>
        <w:t xml:space="preserve">de antemano si su situación será estimada por el órgano judicial como amparada por un derecho específico. </w:t>
      </w: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627CAE" w:rsidRPr="006B54E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627CAE" w:rsidRDefault="00627CAE" w:rsidP="00627CAE">
      <w:pPr>
        <w:spacing w:before="240" w:after="0" w:line="360" w:lineRule="auto"/>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 xml:space="preserve">En este sentido  se ha considerado que: </w:t>
      </w:r>
      <w:r w:rsidRPr="00F7738C">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w:t>
      </w:r>
      <w:r w:rsidRPr="00F7738C">
        <w:rPr>
          <w:rFonts w:ascii="Palatino Linotype" w:hAnsi="Palatino Linotype" w:cs="Arial"/>
          <w:i/>
          <w:color w:val="000000" w:themeColor="text1"/>
          <w:sz w:val="24"/>
          <w:szCs w:val="24"/>
          <w:lang w:val="es-ES"/>
        </w:rPr>
        <w:lastRenderedPageBreak/>
        <w:t>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627CAE" w:rsidRPr="00D866D1" w:rsidRDefault="00627CAE" w:rsidP="00AB7627">
      <w:pPr>
        <w:pStyle w:val="Ttulo1"/>
        <w:numPr>
          <w:ilvl w:val="0"/>
          <w:numId w:val="16"/>
        </w:numPr>
        <w:spacing w:line="276" w:lineRule="auto"/>
        <w:jc w:val="both"/>
        <w:rPr>
          <w:rFonts w:ascii="Palatino Linotype" w:hAnsi="Palatino Linotype" w:cs="Arial"/>
          <w:b/>
          <w:color w:val="000000" w:themeColor="text1"/>
          <w:sz w:val="24"/>
          <w:szCs w:val="24"/>
          <w:lang w:val="es-ES"/>
        </w:rPr>
      </w:pPr>
      <w:bookmarkStart w:id="3" w:name="_Toc524363492"/>
      <w:r w:rsidRPr="00D866D1">
        <w:rPr>
          <w:rFonts w:ascii="Palatino Linotype" w:hAnsi="Palatino Linotype"/>
          <w:b/>
          <w:color w:val="auto"/>
          <w:sz w:val="24"/>
          <w:lang w:val="es-ES"/>
        </w:rPr>
        <w:t>Problema y propuesta.</w:t>
      </w:r>
      <w:bookmarkEnd w:id="3"/>
    </w:p>
    <w:p w:rsidR="00B67CCF" w:rsidRPr="0037358E" w:rsidRDefault="00B67CCF"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Por lo que al restringirse –en nuestra propia resolución–, el derecho de acceso a la justicia </w:t>
      </w:r>
      <w:r w:rsidRPr="002F6C44">
        <w:rPr>
          <w:rFonts w:ascii="Palatino Linotype" w:hAnsi="Palatino Linotype" w:cs="Arial"/>
          <w:color w:val="000000" w:themeColor="text1"/>
          <w:sz w:val="24"/>
          <w:szCs w:val="24"/>
          <w:lang w:val="es-ES"/>
        </w:rPr>
        <w:t xml:space="preserve">del </w:t>
      </w:r>
      <w:r w:rsidR="002F6C44" w:rsidRPr="002F6C44">
        <w:rPr>
          <w:rFonts w:ascii="Palatino Linotype" w:hAnsi="Palatino Linotype" w:cs="Arial"/>
          <w:b/>
          <w:color w:val="000000" w:themeColor="text1"/>
          <w:sz w:val="24"/>
          <w:szCs w:val="24"/>
          <w:lang w:val="es-ES"/>
        </w:rPr>
        <w:t>Sindicato Único de Trabajadores</w:t>
      </w:r>
      <w:r w:rsidR="00790A44">
        <w:rPr>
          <w:rFonts w:ascii="Palatino Linotype" w:hAnsi="Palatino Linotype" w:cs="Arial"/>
          <w:b/>
          <w:color w:val="000000" w:themeColor="text1"/>
          <w:sz w:val="24"/>
          <w:szCs w:val="24"/>
          <w:lang w:val="es-ES"/>
        </w:rPr>
        <w:t xml:space="preserve"> Académicos y Administrativos de la Universidad Politécnica del Valle de Toluca</w:t>
      </w:r>
      <w:r w:rsidRPr="0037358E">
        <w:rPr>
          <w:rFonts w:ascii="Palatino Linotype" w:hAnsi="Palatino Linotype" w:cs="Arial"/>
          <w:color w:val="000000" w:themeColor="text1"/>
          <w:sz w:val="24"/>
          <w:szCs w:val="24"/>
          <w:lang w:val="es-ES"/>
        </w:rPr>
        <w:t xml:space="preserve">, para poder impugnar, vía </w:t>
      </w:r>
      <w:r w:rsidRPr="0037358E">
        <w:rPr>
          <w:rFonts w:ascii="Palatino Linotype" w:hAnsi="Palatino Linotype" w:cs="Arial"/>
          <w:color w:val="000000" w:themeColor="text1"/>
          <w:sz w:val="24"/>
          <w:szCs w:val="24"/>
          <w:lang w:val="es-ES"/>
        </w:rPr>
        <w:lastRenderedPageBreak/>
        <w:t>amparo, nuestra decisión, podría colocarnos en una situación que afecte los derechos humanos de la persona moral.</w:t>
      </w:r>
    </w:p>
    <w:p w:rsidR="00B67CCF" w:rsidRPr="00B67CCF" w:rsidRDefault="00B67CCF" w:rsidP="00B67CCF">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En consecuencia, por lo que corresponde a las personas físicas y morales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y a los sindicatos que reciban y ejerzan recursos públicos o realicen actos de autoridad, 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lastRenderedPageBreak/>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Default="00C3567A" w:rsidP="00C3567A">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C3567A" w:rsidRPr="00CC4B90"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CC4B90">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CC4B90">
        <w:rPr>
          <w:rFonts w:ascii="Palatino Linotype" w:hAnsi="Palatino Linotype" w:cs="Arial"/>
          <w:sz w:val="24"/>
          <w:szCs w:val="24"/>
        </w:rPr>
        <w:t>establece lo siguiente</w:t>
      </w:r>
      <w:r w:rsidRPr="00CC4B90">
        <w:rPr>
          <w:rFonts w:ascii="Palatino Linotype" w:hAnsi="Palatino Linotype" w:cs="Arial"/>
          <w:b/>
          <w:sz w:val="24"/>
          <w:szCs w:val="24"/>
        </w:rPr>
        <w:t>:</w:t>
      </w:r>
    </w:p>
    <w:p w:rsidR="006A7929" w:rsidRPr="00CC4B90" w:rsidRDefault="006A7929" w:rsidP="006A7929">
      <w:pPr>
        <w:pStyle w:val="Prrafodelista"/>
        <w:rPr>
          <w:rFonts w:ascii="Palatino Linotype" w:hAnsi="Palatino Linotype" w:cs="Arial"/>
          <w:b/>
          <w:sz w:val="24"/>
          <w:szCs w:val="24"/>
        </w:rPr>
      </w:pPr>
    </w:p>
    <w:p w:rsidR="00C3567A" w:rsidRPr="00CC4B90" w:rsidRDefault="00C3567A" w:rsidP="00C3567A">
      <w:pPr>
        <w:pStyle w:val="Prrafodelista"/>
        <w:spacing w:after="0" w:line="360" w:lineRule="auto"/>
        <w:ind w:right="616"/>
        <w:jc w:val="both"/>
        <w:rPr>
          <w:rFonts w:ascii="Palatino Linotype" w:eastAsia="Times New Roman" w:hAnsi="Palatino Linotype" w:cs="Times New Roman"/>
          <w:i/>
          <w:sz w:val="32"/>
          <w:szCs w:val="24"/>
          <w:lang w:eastAsia="es-MX"/>
        </w:rPr>
      </w:pPr>
      <w:r w:rsidRPr="00CC4B90">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C3567A" w:rsidRPr="00CC4B90" w:rsidRDefault="00C3567A" w:rsidP="00C3567A">
      <w:pPr>
        <w:rPr>
          <w:rFonts w:ascii="Palatino Linotype" w:hAnsi="Palatino Linotype" w:cs="Arial"/>
          <w:b/>
          <w:sz w:val="24"/>
          <w:szCs w:val="24"/>
        </w:rPr>
      </w:pPr>
    </w:p>
    <w:p w:rsidR="00C3567A"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rPr>
        <w:t xml:space="preserve">En ese sentido, se entiende que al igual que las personas físicas, </w:t>
      </w:r>
      <w:r w:rsidR="00FE31E6" w:rsidRPr="00CC4B90">
        <w:rPr>
          <w:rFonts w:ascii="Palatino Linotype" w:hAnsi="Palatino Linotype" w:cs="Arial"/>
          <w:sz w:val="24"/>
          <w:szCs w:val="24"/>
        </w:rPr>
        <w:t>las personas morales, tienen el derecho</w:t>
      </w:r>
      <w:r w:rsidRPr="00CC4B90">
        <w:rPr>
          <w:rFonts w:ascii="Palatino Linotype" w:hAnsi="Palatino Linotype" w:cs="Arial"/>
          <w:sz w:val="24"/>
          <w:szCs w:val="24"/>
        </w:rPr>
        <w:t xml:space="preserve"> de interponer medios de impugnación cuando l</w:t>
      </w:r>
      <w:r w:rsidR="00B55534" w:rsidRPr="00CC4B90">
        <w:rPr>
          <w:rFonts w:ascii="Palatino Linotype" w:hAnsi="Palatino Linotype" w:cs="Arial"/>
          <w:sz w:val="24"/>
          <w:szCs w:val="24"/>
        </w:rPr>
        <w:t>as resoluciones les causen</w:t>
      </w:r>
      <w:r w:rsidRPr="00CC4B90">
        <w:rPr>
          <w:rFonts w:ascii="Palatino Linotype" w:hAnsi="Palatino Linotype" w:cs="Arial"/>
          <w:sz w:val="24"/>
          <w:szCs w:val="24"/>
        </w:rPr>
        <w:t xml:space="preserve"> perjuicio</w:t>
      </w:r>
      <w:r w:rsidR="00B55534" w:rsidRPr="00CC4B90">
        <w:rPr>
          <w:rFonts w:ascii="Palatino Linotype" w:hAnsi="Palatino Linotype" w:cs="Arial"/>
          <w:sz w:val="24"/>
          <w:szCs w:val="24"/>
        </w:rPr>
        <w:t xml:space="preserve"> alguno</w:t>
      </w:r>
      <w:r w:rsidRPr="00CC4B90">
        <w:rPr>
          <w:rFonts w:ascii="Palatino Linotype" w:hAnsi="Palatino Linotype" w:cs="Arial"/>
          <w:sz w:val="24"/>
          <w:szCs w:val="24"/>
        </w:rPr>
        <w:t xml:space="preserve">, de lo contrario, dichas personas se encontrarían en un estado de vulnerabilidad en contra de los Sujetos Obligados, impidiéndoles </w:t>
      </w:r>
      <w:r w:rsidR="00FE31E6" w:rsidRPr="00CC4B90">
        <w:rPr>
          <w:rFonts w:ascii="Palatino Linotype" w:hAnsi="Palatino Linotype" w:cs="Arial"/>
          <w:sz w:val="24"/>
          <w:szCs w:val="24"/>
        </w:rPr>
        <w:t xml:space="preserve">que </w:t>
      </w:r>
      <w:r w:rsidRPr="00CC4B90">
        <w:rPr>
          <w:rFonts w:ascii="Palatino Linotype" w:hAnsi="Palatino Linotype" w:cs="Arial"/>
          <w:sz w:val="24"/>
          <w:szCs w:val="24"/>
        </w:rPr>
        <w:t>cuando con</w:t>
      </w:r>
      <w:r w:rsidR="00FE31E6" w:rsidRPr="00CC4B90">
        <w:rPr>
          <w:rFonts w:ascii="Palatino Linotype" w:hAnsi="Palatino Linotype" w:cs="Arial"/>
          <w:sz w:val="24"/>
          <w:szCs w:val="24"/>
        </w:rPr>
        <w:t>sideren que las resoluciones</w:t>
      </w:r>
      <w:r w:rsidRPr="00CC4B90">
        <w:rPr>
          <w:rFonts w:ascii="Palatino Linotype" w:hAnsi="Palatino Linotype" w:cs="Arial"/>
          <w:sz w:val="24"/>
          <w:szCs w:val="24"/>
        </w:rPr>
        <w:t xml:space="preserve"> violan sus derechos, estos puedan interponer medio</w:t>
      </w:r>
      <w:r w:rsidR="00FE31E6" w:rsidRPr="00CC4B90">
        <w:rPr>
          <w:rFonts w:ascii="Palatino Linotype" w:hAnsi="Palatino Linotype" w:cs="Arial"/>
          <w:sz w:val="24"/>
          <w:szCs w:val="24"/>
        </w:rPr>
        <w:t>s</w:t>
      </w:r>
      <w:r w:rsidRPr="00CC4B90">
        <w:rPr>
          <w:rFonts w:ascii="Palatino Linotype" w:hAnsi="Palatino Linotype" w:cs="Arial"/>
          <w:sz w:val="24"/>
          <w:szCs w:val="24"/>
        </w:rPr>
        <w:t xml:space="preserve"> de defensa correspondiente</w:t>
      </w:r>
      <w:r w:rsidR="00FE31E6" w:rsidRPr="00CC4B90">
        <w:rPr>
          <w:rFonts w:ascii="Palatino Linotype" w:hAnsi="Palatino Linotype" w:cs="Arial"/>
          <w:sz w:val="24"/>
          <w:szCs w:val="24"/>
        </w:rPr>
        <w:t>s</w:t>
      </w:r>
      <w:r w:rsidRPr="00CC4B90">
        <w:rPr>
          <w:rFonts w:ascii="Palatino Linotype" w:hAnsi="Palatino Linotype" w:cs="Arial"/>
          <w:sz w:val="24"/>
          <w:szCs w:val="24"/>
        </w:rPr>
        <w:t>.</w:t>
      </w:r>
    </w:p>
    <w:p w:rsidR="00790A44" w:rsidRDefault="00790A44" w:rsidP="00BC675B">
      <w:pPr>
        <w:pStyle w:val="Prrafodelista"/>
        <w:spacing w:before="240" w:after="0" w:line="360" w:lineRule="auto"/>
        <w:ind w:left="426"/>
        <w:jc w:val="both"/>
        <w:outlineLvl w:val="0"/>
        <w:rPr>
          <w:rFonts w:ascii="Palatino Linotype" w:hAnsi="Palatino Linotype" w:cs="Arial"/>
          <w:b/>
          <w:sz w:val="24"/>
          <w:szCs w:val="24"/>
        </w:rPr>
      </w:pPr>
    </w:p>
    <w:p w:rsidR="00D866D1" w:rsidRPr="00D866D1" w:rsidRDefault="00D866D1" w:rsidP="00BC675B">
      <w:pPr>
        <w:pStyle w:val="Prrafodelista"/>
        <w:spacing w:before="240" w:after="0" w:line="360" w:lineRule="auto"/>
        <w:ind w:left="426"/>
        <w:jc w:val="both"/>
        <w:outlineLvl w:val="0"/>
        <w:rPr>
          <w:rFonts w:ascii="Palatino Linotype" w:hAnsi="Palatino Linotype" w:cs="Arial"/>
          <w:b/>
          <w:sz w:val="24"/>
          <w:szCs w:val="24"/>
        </w:rPr>
      </w:pPr>
      <w:bookmarkStart w:id="4" w:name="_Toc524363493"/>
      <w:r>
        <w:rPr>
          <w:rFonts w:ascii="Palatino Linotype" w:hAnsi="Palatino Linotype" w:cs="Arial"/>
          <w:b/>
          <w:sz w:val="24"/>
          <w:szCs w:val="24"/>
        </w:rPr>
        <w:t xml:space="preserve">V. </w:t>
      </w:r>
      <w:r w:rsidR="00BC675B">
        <w:rPr>
          <w:rFonts w:ascii="Palatino Linotype" w:hAnsi="Palatino Linotype" w:cs="Arial"/>
          <w:b/>
          <w:sz w:val="24"/>
          <w:szCs w:val="24"/>
        </w:rPr>
        <w:t xml:space="preserve">De la clasificación de la información de los numerales 1 y 3 de la solicitud de información como </w:t>
      </w:r>
      <w:r w:rsidR="00C17876">
        <w:rPr>
          <w:rFonts w:ascii="Palatino Linotype" w:hAnsi="Palatino Linotype" w:cs="Arial"/>
          <w:b/>
          <w:sz w:val="24"/>
          <w:szCs w:val="24"/>
        </w:rPr>
        <w:t>CONFIDENCIAL</w:t>
      </w:r>
      <w:r w:rsidR="00BC675B">
        <w:rPr>
          <w:rFonts w:ascii="Palatino Linotype" w:hAnsi="Palatino Linotype" w:cs="Arial"/>
          <w:b/>
          <w:sz w:val="24"/>
          <w:szCs w:val="24"/>
        </w:rPr>
        <w:t>.</w:t>
      </w:r>
      <w:bookmarkEnd w:id="4"/>
    </w:p>
    <w:p w:rsidR="00D866D1" w:rsidRDefault="0017326A" w:rsidP="00C3567A">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 xml:space="preserve">Ahora bien, dentro del considerando CUARTO de la resolución, se realizó un estudio sobre la información devengada de las cuotas sindicales, y derivado de ello se concluyó que la información en comento enmarcaba dentro de la semántica de la información clasificada, en consecuencia se ordenó hacer entrega a la </w:t>
      </w:r>
      <w:r>
        <w:rPr>
          <w:rFonts w:ascii="Palatino Linotype" w:hAnsi="Palatino Linotype" w:cs="Arial"/>
          <w:b/>
          <w:sz w:val="24"/>
          <w:szCs w:val="24"/>
        </w:rPr>
        <w:t>RECURRENTE</w:t>
      </w:r>
      <w:r>
        <w:rPr>
          <w:rFonts w:ascii="Palatino Linotype" w:hAnsi="Palatino Linotype" w:cs="Arial"/>
          <w:sz w:val="24"/>
          <w:szCs w:val="24"/>
        </w:rPr>
        <w:t xml:space="preserve"> del Acuerdo del Comité de Transparencia mediante el cual se confirme la Clasificación de la Información como confidencial, en términos de los artículos 122 y 143 fracción I de la Ley de Transparencia y acceso a la Información Pública del Estado de México y Municipios</w:t>
      </w:r>
      <w:r w:rsidR="00A971ED">
        <w:rPr>
          <w:rFonts w:ascii="Palatino Linotype" w:hAnsi="Palatino Linotype" w:cs="Arial"/>
          <w:sz w:val="24"/>
          <w:szCs w:val="24"/>
        </w:rPr>
        <w:t>.</w:t>
      </w:r>
    </w:p>
    <w:p w:rsidR="00BC675B" w:rsidRDefault="00BC675B" w:rsidP="00BC675B">
      <w:pPr>
        <w:pStyle w:val="Prrafodelista"/>
        <w:spacing w:before="240" w:after="0" w:line="360" w:lineRule="auto"/>
        <w:ind w:left="426"/>
        <w:jc w:val="both"/>
        <w:rPr>
          <w:rFonts w:ascii="Palatino Linotype" w:hAnsi="Palatino Linotype" w:cs="Arial"/>
          <w:sz w:val="24"/>
          <w:szCs w:val="24"/>
        </w:rPr>
      </w:pPr>
    </w:p>
    <w:p w:rsidR="00D866D1" w:rsidRDefault="00A971ED"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Al respecto, e</w:t>
      </w:r>
      <w:r w:rsidR="00BC675B" w:rsidRPr="00BC675B">
        <w:rPr>
          <w:rFonts w:ascii="Palatino Linotype" w:hAnsi="Palatino Linotype" w:cs="Arial"/>
          <w:sz w:val="24"/>
          <w:szCs w:val="24"/>
        </w:rPr>
        <w:t>s importante señalar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D866D1"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El </w:t>
      </w:r>
      <w:r w:rsidRPr="00C53419">
        <w:rPr>
          <w:rFonts w:ascii="Palatino Linotype" w:hAnsi="Palatino Linotype" w:cs="Arial"/>
          <w:sz w:val="24"/>
          <w:szCs w:val="24"/>
        </w:rPr>
        <w:t>artículo 18 de la Ley en la materia los Sujetos Obligados cuenta</w:t>
      </w:r>
      <w:r>
        <w:rPr>
          <w:rFonts w:ascii="Palatino Linotype" w:hAnsi="Palatino Linotype" w:cs="Arial"/>
          <w:sz w:val="24"/>
          <w:szCs w:val="24"/>
        </w:rPr>
        <w:t>n</w:t>
      </w:r>
      <w:r w:rsidRPr="00C53419">
        <w:rPr>
          <w:rFonts w:ascii="Palatino Linotype" w:hAnsi="Palatino Linotype" w:cs="Arial"/>
          <w:sz w:val="24"/>
          <w:szCs w:val="24"/>
        </w:rPr>
        <w:t xml:space="preserve"> con la obligación de documentar todos los actos que derive</w:t>
      </w:r>
      <w:r>
        <w:rPr>
          <w:rFonts w:ascii="Palatino Linotype" w:hAnsi="Palatino Linotype" w:cs="Arial"/>
          <w:sz w:val="24"/>
          <w:szCs w:val="24"/>
        </w:rPr>
        <w:t>n</w:t>
      </w:r>
      <w:r w:rsidRPr="00C53419">
        <w:rPr>
          <w:rFonts w:ascii="Palatino Linotype" w:hAnsi="Palatino Linotype" w:cs="Arial"/>
          <w:sz w:val="24"/>
          <w:szCs w:val="24"/>
        </w:rPr>
        <w:t xml:space="preserve"> de sus atribuciones, funciones y competencia desde su origen</w:t>
      </w:r>
      <w:r>
        <w:rPr>
          <w:rFonts w:ascii="Palatino Linotype" w:hAnsi="Palatino Linotype" w:cs="Arial"/>
          <w:sz w:val="24"/>
          <w:szCs w:val="24"/>
        </w:rPr>
        <w:t>,</w:t>
      </w:r>
      <w:r w:rsidRPr="00C53419">
        <w:rPr>
          <w:rFonts w:ascii="Palatino Linotype" w:hAnsi="Palatino Linotype" w:cs="Arial"/>
          <w:sz w:val="24"/>
          <w:szCs w:val="24"/>
        </w:rPr>
        <w:t xml:space="preserve"> la eventual y reutilización de la información que generen, por lo tanto toda la información que </w:t>
      </w:r>
      <w:r>
        <w:rPr>
          <w:rFonts w:ascii="Palatino Linotype" w:hAnsi="Palatino Linotype" w:cs="Arial"/>
          <w:sz w:val="24"/>
          <w:szCs w:val="24"/>
        </w:rPr>
        <w:t>generen</w:t>
      </w:r>
      <w:r w:rsidRPr="00C53419">
        <w:rPr>
          <w:rFonts w:ascii="Palatino Linotype" w:hAnsi="Palatino Linotype" w:cs="Arial"/>
          <w:sz w:val="24"/>
          <w:szCs w:val="24"/>
        </w:rPr>
        <w:t xml:space="preserve">, </w:t>
      </w:r>
      <w:r>
        <w:rPr>
          <w:rFonts w:ascii="Palatino Linotype" w:hAnsi="Palatino Linotype" w:cs="Arial"/>
          <w:sz w:val="24"/>
          <w:szCs w:val="24"/>
        </w:rPr>
        <w:t>posean</w:t>
      </w:r>
      <w:r w:rsidRPr="00C53419">
        <w:rPr>
          <w:rFonts w:ascii="Palatino Linotype" w:hAnsi="Palatino Linotype" w:cs="Arial"/>
          <w:sz w:val="24"/>
          <w:szCs w:val="24"/>
        </w:rPr>
        <w:t xml:space="preserve"> </w:t>
      </w:r>
      <w:r w:rsidRPr="00C53419">
        <w:rPr>
          <w:rFonts w:ascii="Palatino Linotype" w:hAnsi="Palatino Linotype" w:cs="Arial"/>
          <w:sz w:val="24"/>
          <w:szCs w:val="24"/>
        </w:rPr>
        <w:lastRenderedPageBreak/>
        <w:t>y administre</w:t>
      </w:r>
      <w:r>
        <w:rPr>
          <w:rFonts w:ascii="Palatino Linotype" w:hAnsi="Palatino Linotype" w:cs="Arial"/>
          <w:sz w:val="24"/>
          <w:szCs w:val="24"/>
        </w:rPr>
        <w:t>n</w:t>
      </w:r>
      <w:r w:rsidRPr="00C53419">
        <w:rPr>
          <w:rFonts w:ascii="Palatino Linotype" w:hAnsi="Palatino Linotype" w:cs="Arial"/>
          <w:sz w:val="24"/>
          <w:szCs w:val="24"/>
        </w:rPr>
        <w:t xml:space="preserve">, es pública y accesible de manera permanente a cualquier persona, privilegiando el principio de máxima publicidad de la misma, por lo tanto esta debe ser proporcionada siempre y </w:t>
      </w:r>
      <w:r>
        <w:rPr>
          <w:rFonts w:ascii="Palatino Linotype" w:hAnsi="Palatino Linotype" w:cs="Arial"/>
          <w:sz w:val="24"/>
          <w:szCs w:val="24"/>
        </w:rPr>
        <w:t>cuando se halle en los archivos</w:t>
      </w:r>
      <w:r w:rsidRPr="00C53419">
        <w:rPr>
          <w:rFonts w:ascii="Palatino Linotype" w:hAnsi="Palatino Linotype" w:cs="Arial"/>
          <w:sz w:val="24"/>
          <w:szCs w:val="24"/>
        </w:rPr>
        <w:t xml:space="preserve"> documentales de los Sujeto</w:t>
      </w:r>
      <w:r>
        <w:rPr>
          <w:rFonts w:ascii="Palatino Linotype" w:hAnsi="Palatino Linotype" w:cs="Arial"/>
          <w:sz w:val="24"/>
          <w:szCs w:val="24"/>
        </w:rPr>
        <w:t>s</w:t>
      </w:r>
      <w:r w:rsidRPr="00C53419">
        <w:rPr>
          <w:rFonts w:ascii="Palatino Linotype" w:hAnsi="Palatino Linotype" w:cs="Arial"/>
          <w:sz w:val="24"/>
          <w:szCs w:val="24"/>
        </w:rPr>
        <w:t xml:space="preserve"> Obligados y en las condiciones que se encuentre, la cual no podrá sufrir modificaciones o procesamiento, no presentarla conforme a los intereses de los particulares, como de igual forma los sujeto</w:t>
      </w:r>
      <w:r>
        <w:rPr>
          <w:rFonts w:ascii="Palatino Linotype" w:hAnsi="Palatino Linotype" w:cs="Arial"/>
          <w:sz w:val="24"/>
          <w:szCs w:val="24"/>
        </w:rPr>
        <w:t>s</w:t>
      </w:r>
      <w:r w:rsidRPr="00C53419">
        <w:rPr>
          <w:rFonts w:ascii="Palatino Linotype" w:hAnsi="Palatino Linotype" w:cs="Arial"/>
          <w:sz w:val="24"/>
          <w:szCs w:val="24"/>
        </w:rPr>
        <w:t xml:space="preserve"> obligados no deberán de generar, resumir o efectuar cálculos o practicar investigaciones.</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D866D1"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De </w:t>
      </w:r>
      <w:r w:rsidRPr="00C53419">
        <w:rPr>
          <w:rFonts w:ascii="Palatino Linotype" w:hAnsi="Palatino Linotype" w:cs="Arial"/>
          <w:sz w:val="24"/>
          <w:szCs w:val="24"/>
        </w:rPr>
        <w:t>la misma forma, de acuerdo al contenido del artículo 160 de la Ley General de Transparencia y Acceso a la Información Pública que a la letra dispone:</w:t>
      </w:r>
    </w:p>
    <w:p w:rsidR="00BC675B" w:rsidRPr="00C53419" w:rsidRDefault="00C53419" w:rsidP="00A971ED">
      <w:pPr>
        <w:pStyle w:val="Sinespaciado"/>
        <w:ind w:left="851" w:right="567"/>
        <w:jc w:val="both"/>
        <w:rPr>
          <w:rFonts w:ascii="Palatino Linotype" w:hAnsi="Palatino Linotype"/>
          <w:i/>
        </w:rPr>
      </w:pPr>
      <w:r>
        <w:rPr>
          <w:rFonts w:ascii="Palatino Linotype" w:hAnsi="Palatino Linotype"/>
          <w:i/>
        </w:rPr>
        <w:t>“</w:t>
      </w:r>
      <w:r w:rsidRPr="00C53419">
        <w:rPr>
          <w:rFonts w:ascii="Palatino Linotype" w:hAnsi="Palatino Linotype"/>
          <w:b/>
          <w:i/>
        </w:rPr>
        <w:t>Artículo 160.</w:t>
      </w:r>
      <w:r w:rsidRPr="00C53419">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rPr>
        <w:t>”</w:t>
      </w:r>
    </w:p>
    <w:p w:rsidR="00C53419" w:rsidRDefault="00C53419" w:rsidP="00776441">
      <w:pPr>
        <w:pStyle w:val="Prrafodelista"/>
        <w:spacing w:before="240" w:after="0" w:line="360" w:lineRule="auto"/>
        <w:ind w:left="426"/>
        <w:jc w:val="both"/>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Es </w:t>
      </w:r>
      <w:r w:rsidRPr="00C53419">
        <w:rPr>
          <w:rFonts w:ascii="Palatino Linotype" w:hAnsi="Palatino Linotype" w:cs="Arial"/>
          <w:sz w:val="24"/>
          <w:szCs w:val="24"/>
        </w:rPr>
        <w:t>importante indicar que si bien el Instituto Nacional de Transparencia, Acceso a la Información y Protección de Datos Personales emitió un criterio</w:t>
      </w:r>
      <w:r>
        <w:rPr>
          <w:rStyle w:val="Refdenotaalpie"/>
          <w:rFonts w:ascii="Palatino Linotype" w:hAnsi="Palatino Linotype" w:cs="Arial"/>
          <w:sz w:val="24"/>
          <w:szCs w:val="24"/>
        </w:rPr>
        <w:footnoteReference w:id="6"/>
      </w:r>
      <w:r w:rsidRPr="00C53419">
        <w:rPr>
          <w:rFonts w:ascii="Palatino Linotype" w:hAnsi="Palatino Linotype" w:cs="Arial"/>
          <w:sz w:val="24"/>
          <w:szCs w:val="24"/>
        </w:rPr>
        <w:t xml:space="preserve"> en el cual señalan que las cuotas sindicales no están sujetas al escrutinio público ya que las mismas provienen de recursos privados que aportan los trabajadores afiliados, </w:t>
      </w:r>
      <w:r w:rsidRPr="00C53419">
        <w:rPr>
          <w:rFonts w:ascii="Palatino Linotype" w:hAnsi="Palatino Linotype" w:cs="Arial"/>
          <w:sz w:val="24"/>
          <w:szCs w:val="24"/>
        </w:rPr>
        <w:lastRenderedPageBreak/>
        <w:t>también lo es que este monto se puede obtener por otro vía, para ser más específicos, si mediante otra solicitud de información se solicita la nómina o el documento donde consten las percepciones de los servidores públicos sindicalizados o bien ya se cuenta con dicha información, el particular puede realizar el cálculo y obtener el monto que el Sujeto Obligado pretende clasificar y ante esta situación, a nada practico nos conduciría o serviría aprobar dicha clasificación, toda vez que mediante otros medios se puede acceder a la información.</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Así </w:t>
      </w:r>
      <w:r w:rsidRPr="00C53419">
        <w:rPr>
          <w:rFonts w:ascii="Palatino Linotype" w:hAnsi="Palatino Linotype" w:cs="Arial"/>
          <w:sz w:val="24"/>
          <w:szCs w:val="24"/>
        </w:rPr>
        <w:t>pues, de conformidad con la contradicción de tesis</w:t>
      </w:r>
      <w:r>
        <w:rPr>
          <w:rStyle w:val="Refdenotaalpie"/>
          <w:rFonts w:ascii="Palatino Linotype" w:hAnsi="Palatino Linotype" w:cs="Arial"/>
          <w:sz w:val="24"/>
          <w:szCs w:val="24"/>
        </w:rPr>
        <w:footnoteReference w:id="7"/>
      </w:r>
      <w:r w:rsidRPr="00C53419">
        <w:rPr>
          <w:rFonts w:ascii="Palatino Linotype" w:hAnsi="Palatino Linotype" w:cs="Arial"/>
          <w:sz w:val="24"/>
          <w:szCs w:val="24"/>
        </w:rPr>
        <w:t xml:space="preserve"> se aprecia que es información susceptible de darse a conocer terceras personas en virtud de que si bien el monto aportado corresponde de un particular también lo que es que no se estaría vulnerando el derecho a la privacidad de un particular, ya que no se estaría exponiendo a la persona como individuo lo que no haría identificable a la persona, sino únicamente el monto total que recibe el Sujeto Obligado, tal y como la siguiente Tesis Aislada (Constitucion</w:t>
      </w:r>
      <w:r>
        <w:rPr>
          <w:rFonts w:ascii="Palatino Linotype" w:hAnsi="Palatino Linotype" w:cs="Arial"/>
          <w:sz w:val="24"/>
          <w:szCs w:val="24"/>
        </w:rPr>
        <w:t>al, Administrativa)</w:t>
      </w:r>
      <w:r>
        <w:rPr>
          <w:rStyle w:val="Refdenotaalpie"/>
          <w:rFonts w:ascii="Palatino Linotype" w:hAnsi="Palatino Linotype" w:cs="Arial"/>
          <w:sz w:val="24"/>
          <w:szCs w:val="24"/>
        </w:rPr>
        <w:footnoteReference w:id="8"/>
      </w:r>
      <w:r w:rsidRPr="00C53419">
        <w:rPr>
          <w:rFonts w:ascii="Palatino Linotype" w:hAnsi="Palatino Linotype" w:cs="Arial"/>
          <w:sz w:val="24"/>
          <w:szCs w:val="24"/>
        </w:rPr>
        <w:t xml:space="preserve"> señala:</w:t>
      </w:r>
    </w:p>
    <w:p w:rsidR="00C53419" w:rsidRPr="00C53419" w:rsidRDefault="00C53419" w:rsidP="00A971ED">
      <w:pPr>
        <w:pStyle w:val="Sinespaciado"/>
        <w:ind w:left="851" w:right="567"/>
        <w:jc w:val="both"/>
        <w:rPr>
          <w:rFonts w:ascii="Palatino Linotype" w:hAnsi="Palatino Linotype"/>
          <w:i/>
        </w:rPr>
      </w:pPr>
      <w:r w:rsidRPr="00A971ED">
        <w:rPr>
          <w:rFonts w:ascii="Palatino Linotype" w:hAnsi="Palatino Linotype"/>
          <w:b/>
          <w:i/>
        </w:rPr>
        <w:t xml:space="preserve">INFORMACIÓN PÚBLICA. EL MONTO DE LAS CANTIDADES PAGADAS POR PETRÓLEOS MEXICANOS A SU SINDICATO EN </w:t>
      </w:r>
      <w:r w:rsidRPr="00A971ED">
        <w:rPr>
          <w:rFonts w:ascii="Palatino Linotype" w:hAnsi="Palatino Linotype"/>
          <w:b/>
          <w:i/>
        </w:rPr>
        <w:lastRenderedPageBreak/>
        <w:t>TÉRMINOS DE LAS OBLIGACIONES ASUMIDAS EN SU CONTRATO COLECTIVO DE TRABAJO, DISTINTAS DE LOS DESCUENTOS QUE REALIZA AL SALARIO DE SUS TRABAJADORES POR CONCEPTO DE CUOTAS SINDICALES, CONSTITUYE UN DATO QUE SE DEBE DAR A CONOCER A LOS TERCEROS QUE LO SOLICITEN.</w:t>
      </w:r>
      <w:r>
        <w:rPr>
          <w:rFonts w:ascii="Palatino Linotype" w:hAnsi="Palatino Linotype"/>
          <w:i/>
        </w:rPr>
        <w:t xml:space="preserve"> “</w:t>
      </w:r>
      <w:r w:rsidRPr="00C53419">
        <w:rPr>
          <w:rFonts w:ascii="Palatino Linotype" w:hAnsi="Palatino Linotype"/>
          <w:i/>
        </w:rPr>
        <w:t xml:space="preserve">Al resolver la contradicción de tesis 333/2009, la Segunda Sala de la Suprema Corte de Justicia de la Nación estableció que para determinar si la información con que cuenta Petróleos Mexicanos, relativa a los montos que entrega a su sindicato es pública o no, se debe atender a su fuente de obtención: </w:t>
      </w:r>
      <w:r w:rsidRPr="00C53419">
        <w:rPr>
          <w:rFonts w:ascii="Palatino Linotype" w:hAnsi="Palatino Linotype"/>
          <w:b/>
          <w:i/>
        </w:rPr>
        <w:t>si su fuente se encuentra en el derecho público y es obtenida en ejercicio de sus funciones como ente público, entonces se debe considerar pública</w:t>
      </w:r>
      <w:r w:rsidRPr="00C53419">
        <w:rPr>
          <w:rFonts w:ascii="Palatino Linotype" w:hAnsi="Palatino Linotype"/>
          <w:i/>
        </w:rPr>
        <w:t xml:space="preserve">; pero si la fuente de obtención se halla en el derecho privado y en sus funciones como patrón, entonces se debe considerar privada por referirse a la vida interna del sindicato. Ahora, de la interpretación de los artículos 2o., 3o., penúltimo párrafo y 4o. de la Ley Orgánica de Petróleos Mexicanos y Organismos Subsidiarios, vigente hasta el 28 de noviembre de 2008, se advierte que Petróleos Mexicanos, como organismo descentralizado de la administración pública federal, cuenta con un patrimonio propio que puede estar constituido por diversos recursos y ser aplicado para el cumplimiento de los convenios, contratos o pactos que celebre con personas físicas o morales, siempre que se relacionen con su objeto, como ocurre con el Contrato Colectivo de Trabajo 2011-2013, celebrado con el Sindicato de Trabajadores Petroleros de la República Mexicana, de cuyo análisis se advierte que dicho organismo descentralizado asumió la obligación de pagar a su sindicato cantidades adicionales a las que debe entregar con motivo de los descuentos que realiza al salario de los trabajadores por concepto de cuotas sindicales, en términos del artículo 110, fracción VI, de la Ley Federal del Trabajo, cantidades que, por ende, </w:t>
      </w:r>
      <w:r w:rsidRPr="00C53419">
        <w:rPr>
          <w:rFonts w:ascii="Palatino Linotype" w:hAnsi="Palatino Linotype"/>
          <w:b/>
          <w:i/>
        </w:rPr>
        <w:t>se entregan con cargo a su patrimonio, sujeto a la obligación de rendición de cuentas</w:t>
      </w:r>
      <w:r w:rsidRPr="00C53419">
        <w:rPr>
          <w:rFonts w:ascii="Palatino Linotype" w:hAnsi="Palatino Linotype"/>
          <w:i/>
        </w:rPr>
        <w:t>. Por tanto, la información relativa a las cantidades distintas de las cuotas sindicales que Petróleos Mexicanos debe entregar a su sindicato con cargo a su patrimonio se debe considerar pública, en tanto se refiere a datos que provienen del ejercicio de sus funciones de derecho público, como es la aplicación de recursos para el cumplimiento de su objeto.</w:t>
      </w:r>
      <w:r>
        <w:rPr>
          <w:rFonts w:ascii="Palatino Linotype" w:hAnsi="Palatino Linotype"/>
          <w:i/>
        </w:rPr>
        <w:t>”</w:t>
      </w:r>
    </w:p>
    <w:p w:rsidR="00C53419" w:rsidRPr="00C53419" w:rsidRDefault="00C53419" w:rsidP="00A971ED">
      <w:pPr>
        <w:pStyle w:val="Sinespaciado"/>
        <w:ind w:left="851" w:right="567"/>
        <w:jc w:val="both"/>
        <w:rPr>
          <w:rFonts w:ascii="Palatino Linotype" w:hAnsi="Palatino Linotype"/>
          <w:i/>
        </w:rPr>
      </w:pP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t>PRIMER TRIBUNAL COLEGIADO EN MATERIA ADMINISTRATIVA DEL PRIMER CIRCUITO.</w:t>
      </w:r>
    </w:p>
    <w:p w:rsidR="00C53419" w:rsidRPr="00C53419" w:rsidRDefault="00C53419" w:rsidP="00A971ED">
      <w:pPr>
        <w:pStyle w:val="Sinespaciado"/>
        <w:ind w:left="851" w:right="567"/>
        <w:jc w:val="both"/>
        <w:rPr>
          <w:rFonts w:ascii="Palatino Linotype" w:hAnsi="Palatino Linotype"/>
          <w:i/>
        </w:rPr>
      </w:pP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lastRenderedPageBreak/>
        <w:t>Amparo en revisión 199/2</w:t>
      </w:r>
      <w:bookmarkStart w:id="5" w:name="_GoBack"/>
      <w:bookmarkEnd w:id="5"/>
      <w:r w:rsidRPr="00C53419">
        <w:rPr>
          <w:rFonts w:ascii="Palatino Linotype" w:hAnsi="Palatino Linotype"/>
          <w:i/>
        </w:rPr>
        <w:t>013. Sindicato de Trabajadores Petroleros de la República Mexicana. 11 de julio de 2013. Unanimidad de votos. Ponente: Carlos Ronzon Sevilla. Secretaria: Jazmín Bonilla García.</w:t>
      </w: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t>Nota: La parte conducente de la ejecutoria relativa a la contradicción de tesis 333/2009 citada, aparece publicada en el Semanario Judicial de la Federación y su Gaceta, Novena Época, Tomo XXXIII, enero de 2011, página 1804.”</w:t>
      </w:r>
    </w:p>
    <w:p w:rsidR="00BC675B" w:rsidRPr="00C53419" w:rsidRDefault="00C53419" w:rsidP="00A971ED">
      <w:pPr>
        <w:pStyle w:val="Sinespaciado"/>
        <w:ind w:left="851" w:right="567"/>
        <w:jc w:val="both"/>
        <w:rPr>
          <w:rFonts w:ascii="Palatino Linotype" w:hAnsi="Palatino Linotype"/>
        </w:rPr>
      </w:pPr>
      <w:r w:rsidRPr="00C53419">
        <w:rPr>
          <w:rFonts w:ascii="Palatino Linotype" w:hAnsi="Palatino Linotype"/>
        </w:rPr>
        <w:t>(Énfasis añadido)</w:t>
      </w:r>
    </w:p>
    <w:p w:rsidR="00C53419" w:rsidRDefault="00C53419" w:rsidP="00776441">
      <w:pPr>
        <w:pStyle w:val="Prrafodelista"/>
        <w:spacing w:before="240" w:after="0" w:line="360" w:lineRule="auto"/>
        <w:ind w:left="426"/>
        <w:jc w:val="both"/>
        <w:rPr>
          <w:rFonts w:ascii="Palatino Linotype" w:hAnsi="Palatino Linotype" w:cs="Arial"/>
          <w:sz w:val="24"/>
          <w:szCs w:val="24"/>
        </w:rPr>
      </w:pPr>
    </w:p>
    <w:p w:rsidR="00C53419" w:rsidRPr="00A971ED" w:rsidRDefault="00C53419" w:rsidP="00A971ED">
      <w:pPr>
        <w:pStyle w:val="Prrafodelista"/>
        <w:numPr>
          <w:ilvl w:val="0"/>
          <w:numId w:val="1"/>
        </w:numPr>
        <w:spacing w:line="360" w:lineRule="auto"/>
        <w:ind w:left="426"/>
        <w:jc w:val="both"/>
        <w:rPr>
          <w:rFonts w:ascii="Palatino Linotype" w:hAnsi="Palatino Linotype" w:cs="Arial"/>
          <w:sz w:val="24"/>
          <w:szCs w:val="24"/>
        </w:rPr>
      </w:pPr>
      <w:r w:rsidRPr="00A971ED">
        <w:rPr>
          <w:rFonts w:ascii="Palatino Linotype" w:hAnsi="Palatino Linotype" w:cs="Arial"/>
          <w:sz w:val="24"/>
          <w:szCs w:val="24"/>
        </w:rPr>
        <w:t>Robustece lo anterior, lo señalado por la propia tesis, esto es, que la fuente o atribución se encuentra en el derecho público y es obtenida en ejercicio de sus funciones como ente público en virtud de estar contemplado en sus estatutos; además, es importante indicar que su información patrimonial no se encuentra amparada por el secreto fiscal que se impone a las autoridades fiscalizadoras, ya que su publicidad no lesiona el bien jurídico tutelado por dicho secreto.</w:t>
      </w:r>
    </w:p>
    <w:p w:rsidR="00C53419" w:rsidRPr="00C53419" w:rsidRDefault="00C53419" w:rsidP="00776441">
      <w:pPr>
        <w:pStyle w:val="Prrafodelista"/>
        <w:ind w:left="426"/>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Aunado </w:t>
      </w:r>
      <w:r w:rsidRPr="00C53419">
        <w:rPr>
          <w:rFonts w:ascii="Palatino Linotype" w:hAnsi="Palatino Linotype" w:cs="Arial"/>
          <w:sz w:val="24"/>
          <w:szCs w:val="24"/>
        </w:rPr>
        <w:t xml:space="preserve">a lo anterior, el tema de rendición de cuentas no debe de perderse de vista, ya que significa que las personas, los organismos y las organizaciones (de carácter público, privado y de la sociedad civil) tienen la responsabilidad del adecuado cumplimiento de sus funciones ; por lo tanto, </w:t>
      </w:r>
      <w:r w:rsidR="00776441">
        <w:rPr>
          <w:rFonts w:ascii="Palatino Linotype" w:hAnsi="Palatino Linotype" w:cs="Arial"/>
          <w:sz w:val="24"/>
          <w:szCs w:val="24"/>
        </w:rPr>
        <w:t>resultaría conveniente</w:t>
      </w:r>
      <w:r w:rsidRPr="00C53419">
        <w:rPr>
          <w:rFonts w:ascii="Palatino Linotype" w:hAnsi="Palatino Linotype" w:cs="Arial"/>
          <w:sz w:val="24"/>
          <w:szCs w:val="24"/>
        </w:rPr>
        <w:t xml:space="preserve"> ordenar el o los documentos donde conste o se advierta el monto total de los recursos obtenido</w:t>
      </w:r>
      <w:r w:rsidR="00776441">
        <w:rPr>
          <w:rFonts w:ascii="Palatino Linotype" w:hAnsi="Palatino Linotype" w:cs="Arial"/>
          <w:sz w:val="24"/>
          <w:szCs w:val="24"/>
        </w:rPr>
        <w:t>s</w:t>
      </w:r>
      <w:r w:rsidRPr="00C53419">
        <w:rPr>
          <w:rFonts w:ascii="Palatino Linotype" w:hAnsi="Palatino Linotype" w:cs="Arial"/>
          <w:sz w:val="24"/>
          <w:szCs w:val="24"/>
        </w:rPr>
        <w:t xml:space="preserve"> po</w:t>
      </w:r>
      <w:r w:rsidR="002F1AC8">
        <w:rPr>
          <w:rFonts w:ascii="Palatino Linotype" w:hAnsi="Palatino Linotype" w:cs="Arial"/>
          <w:sz w:val="24"/>
          <w:szCs w:val="24"/>
        </w:rPr>
        <w:t>r concepto de cuotas sindicales como monto bruto desde la creación del Sindicato Único de Trabajadores Académicos y Administrativos de la Universidad Politécnica del Valle de Toluca</w:t>
      </w:r>
      <w:r w:rsidR="00776441">
        <w:rPr>
          <w:rFonts w:ascii="Palatino Linotype" w:hAnsi="Palatino Linotype" w:cs="Arial"/>
          <w:sz w:val="24"/>
          <w:szCs w:val="24"/>
        </w:rPr>
        <w:t>.</w:t>
      </w:r>
    </w:p>
    <w:p w:rsidR="00CC4B90" w:rsidRPr="00CC4B90" w:rsidRDefault="00CC4B90" w:rsidP="00CC4B90">
      <w:pPr>
        <w:spacing w:before="240" w:after="0" w:line="360" w:lineRule="auto"/>
        <w:jc w:val="both"/>
        <w:rPr>
          <w:rFonts w:ascii="Palatino Linotype" w:hAnsi="Palatino Linotype" w:cs="Arial"/>
          <w:sz w:val="24"/>
          <w:szCs w:val="24"/>
        </w:rPr>
      </w:pPr>
    </w:p>
    <w:p w:rsidR="00627CAE" w:rsidRPr="00CC4B90" w:rsidRDefault="00627CAE" w:rsidP="00DC11A3">
      <w:pPr>
        <w:pStyle w:val="Ttulo1"/>
        <w:numPr>
          <w:ilvl w:val="0"/>
          <w:numId w:val="16"/>
        </w:numPr>
        <w:rPr>
          <w:rFonts w:ascii="Palatino Linotype" w:hAnsi="Palatino Linotype"/>
          <w:b/>
          <w:color w:val="auto"/>
          <w:sz w:val="24"/>
          <w:lang w:val="es-ES"/>
        </w:rPr>
      </w:pPr>
      <w:bookmarkStart w:id="6" w:name="_Toc524363494"/>
      <w:r w:rsidRPr="00CC4B90">
        <w:rPr>
          <w:rFonts w:ascii="Palatino Linotype" w:hAnsi="Palatino Linotype"/>
          <w:b/>
          <w:color w:val="auto"/>
          <w:sz w:val="24"/>
          <w:lang w:val="es-ES"/>
        </w:rPr>
        <w:lastRenderedPageBreak/>
        <w:t>Conclusión.</w:t>
      </w:r>
      <w:bookmarkEnd w:id="6"/>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lang w:val="es-ES"/>
        </w:rPr>
        <w:t>En virtud de lo anterior</w:t>
      </w:r>
      <w:r w:rsidR="00B67CCF" w:rsidRPr="00CC4B90">
        <w:rPr>
          <w:rFonts w:ascii="Palatino Linotype" w:hAnsi="Palatino Linotype" w:cs="Arial"/>
          <w:sz w:val="24"/>
          <w:szCs w:val="24"/>
          <w:lang w:val="es-ES"/>
        </w:rPr>
        <w:t>,</w:t>
      </w:r>
      <w:r w:rsidRPr="00CC4B90">
        <w:rPr>
          <w:rFonts w:ascii="Palatino Linotype" w:hAnsi="Palatino Linotype" w:cs="Arial"/>
          <w:sz w:val="24"/>
          <w:szCs w:val="24"/>
          <w:lang w:val="es-ES"/>
        </w:rPr>
        <w:t xml:space="preserve"> es que no puedo compartir los términos aprobados del resolutivo Cuarto ya que, </w:t>
      </w:r>
      <w:r w:rsidR="00A971ED">
        <w:rPr>
          <w:rFonts w:ascii="Palatino Linotype" w:hAnsi="Palatino Linotype" w:cs="Arial"/>
          <w:sz w:val="24"/>
          <w:szCs w:val="24"/>
          <w:lang w:val="es-ES"/>
        </w:rPr>
        <w:t>con base a lo anteriormente expuesto</w:t>
      </w:r>
      <w:r w:rsidRPr="00CC4B90">
        <w:rPr>
          <w:rFonts w:ascii="Palatino Linotype" w:hAnsi="Palatino Linotype" w:cs="Arial"/>
          <w:sz w:val="24"/>
          <w:szCs w:val="24"/>
          <w:lang w:val="es-ES"/>
        </w:rPr>
        <w:t>, el Sindicato también tiene derecho de acudir al juicio de</w:t>
      </w:r>
      <w:r w:rsidR="003416F2" w:rsidRPr="00CC4B90">
        <w:rPr>
          <w:rFonts w:ascii="Palatino Linotype" w:hAnsi="Palatino Linotype" w:cs="Arial"/>
          <w:sz w:val="24"/>
          <w:szCs w:val="24"/>
          <w:lang w:val="es-ES"/>
        </w:rPr>
        <w:t xml:space="preserve"> amparo si considera que la resolución emitida por el Pleno del Instituto </w:t>
      </w:r>
      <w:r w:rsidRPr="00CC4B90">
        <w:rPr>
          <w:rFonts w:ascii="Palatino Linotype" w:hAnsi="Palatino Linotype" w:cs="Arial"/>
          <w:sz w:val="24"/>
          <w:szCs w:val="24"/>
          <w:lang w:val="es-ES"/>
        </w:rPr>
        <w:t>le causa algún agravio, en virtud de que se trata de una persona moral no pública y, en esa condición, tiene el derecho de acceso a la justicia, indisponible para el Órgano Garante.</w:t>
      </w:r>
      <w:r w:rsidRPr="00CC4B90">
        <w:rPr>
          <w:rFonts w:ascii="Palatino Linotype" w:hAnsi="Palatino Linotype" w:cs="Arial"/>
          <w:sz w:val="24"/>
          <w:szCs w:val="24"/>
        </w:rPr>
        <w:t xml:space="preserve"> </w:t>
      </w:r>
    </w:p>
    <w:p w:rsidR="00A971ED" w:rsidRDefault="00A971ED" w:rsidP="00A971ED">
      <w:pPr>
        <w:pStyle w:val="Prrafodelista"/>
        <w:spacing w:before="240" w:after="0" w:line="360" w:lineRule="auto"/>
        <w:ind w:left="426"/>
        <w:jc w:val="both"/>
        <w:rPr>
          <w:rFonts w:ascii="Palatino Linotype" w:hAnsi="Palatino Linotype" w:cs="Arial"/>
          <w:sz w:val="24"/>
          <w:szCs w:val="24"/>
        </w:rPr>
      </w:pPr>
    </w:p>
    <w:p w:rsidR="00B67CCF" w:rsidRDefault="00A971ED" w:rsidP="00D63660">
      <w:pPr>
        <w:pStyle w:val="Prrafodelista"/>
        <w:numPr>
          <w:ilvl w:val="0"/>
          <w:numId w:val="1"/>
        </w:numPr>
        <w:spacing w:before="240" w:after="0" w:line="360" w:lineRule="auto"/>
        <w:ind w:left="426"/>
        <w:jc w:val="both"/>
        <w:rPr>
          <w:rFonts w:ascii="Palatino Linotype" w:hAnsi="Palatino Linotype" w:cs="Arial"/>
          <w:sz w:val="24"/>
          <w:szCs w:val="24"/>
        </w:rPr>
      </w:pPr>
      <w:r w:rsidRPr="00D63660">
        <w:rPr>
          <w:rFonts w:ascii="Palatino Linotype" w:hAnsi="Palatino Linotype" w:cs="Arial"/>
          <w:sz w:val="24"/>
          <w:szCs w:val="24"/>
        </w:rPr>
        <w:t xml:space="preserve">Asimismo al encontrarse de manifiesto que la información requerida por </w:t>
      </w:r>
      <w:r w:rsidR="002F1AC8">
        <w:rPr>
          <w:rFonts w:ascii="Palatino Linotype" w:hAnsi="Palatino Linotype" w:cs="Arial"/>
          <w:sz w:val="24"/>
          <w:szCs w:val="24"/>
        </w:rPr>
        <w:t>el</w:t>
      </w:r>
      <w:r w:rsidRPr="00D63660">
        <w:rPr>
          <w:rFonts w:ascii="Palatino Linotype" w:hAnsi="Palatino Linotype" w:cs="Arial"/>
          <w:sz w:val="24"/>
          <w:szCs w:val="24"/>
        </w:rPr>
        <w:t xml:space="preserve"> particular consistente en el monto total de los recursos recibidos por concepto de aportaciones de sus afiliados</w:t>
      </w:r>
      <w:r w:rsidR="00D63660" w:rsidRPr="00D63660">
        <w:rPr>
          <w:rFonts w:ascii="Palatino Linotype" w:hAnsi="Palatino Linotype" w:cs="Arial"/>
          <w:sz w:val="24"/>
          <w:szCs w:val="24"/>
        </w:rPr>
        <w:t xml:space="preserve"> puede ser accesada mediante </w:t>
      </w:r>
      <w:r w:rsidR="00D63660">
        <w:rPr>
          <w:rFonts w:ascii="Palatino Linotype" w:hAnsi="Palatino Linotype" w:cs="Arial"/>
          <w:sz w:val="24"/>
          <w:szCs w:val="24"/>
        </w:rPr>
        <w:t xml:space="preserve">diversas solicitudes de información en las que solicite las percepciones de los servidores públicos agremiados al Sindicato </w:t>
      </w:r>
      <w:r w:rsidR="00D63660" w:rsidRPr="00D63660">
        <w:rPr>
          <w:rFonts w:ascii="Palatino Linotype" w:hAnsi="Palatino Linotype" w:cs="Arial"/>
          <w:sz w:val="24"/>
          <w:szCs w:val="24"/>
        </w:rPr>
        <w:t xml:space="preserve">Único de Trabajadores </w:t>
      </w:r>
      <w:r w:rsidR="002F1AC8">
        <w:rPr>
          <w:rFonts w:ascii="Palatino Linotype" w:hAnsi="Palatino Linotype" w:cs="Arial"/>
          <w:sz w:val="24"/>
          <w:szCs w:val="24"/>
        </w:rPr>
        <w:t>Académicos y Administrativos de la Universidad Politécnica del Valle de Toluca</w:t>
      </w:r>
      <w:r w:rsidR="00D63660">
        <w:rPr>
          <w:rFonts w:ascii="Palatino Linotype" w:hAnsi="Palatino Linotype" w:cs="Arial"/>
          <w:sz w:val="24"/>
          <w:szCs w:val="24"/>
        </w:rPr>
        <w:t>, la misma no debería ser susceptible de clasificarse bajo las consideraciones previamente vertidas.</w:t>
      </w:r>
    </w:p>
    <w:p w:rsidR="006A7929" w:rsidRDefault="006A7929" w:rsidP="00627CAE">
      <w:pPr>
        <w:spacing w:line="360" w:lineRule="auto"/>
        <w:rPr>
          <w:rFonts w:ascii="Palatino Linotype" w:hAnsi="Palatino Linotype" w:cs="Arial"/>
          <w:sz w:val="24"/>
          <w:szCs w:val="24"/>
        </w:rPr>
      </w:pPr>
    </w:p>
    <w:p w:rsidR="006A7929" w:rsidRDefault="006A7929" w:rsidP="00627CAE">
      <w:pPr>
        <w:spacing w:line="360" w:lineRule="auto"/>
        <w:rPr>
          <w:rFonts w:ascii="Palatino Linotype" w:hAnsi="Palatino Linotype" w:cs="Arial"/>
          <w:sz w:val="24"/>
          <w:szCs w:val="24"/>
        </w:rPr>
      </w:pPr>
    </w:p>
    <w:p w:rsidR="00627CAE" w:rsidRPr="000C1EE1" w:rsidRDefault="00627CAE" w:rsidP="00791234">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791234">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67CCF" w:rsidRDefault="006A7929" w:rsidP="00791234">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CC4B90" w:rsidRDefault="00CC4B90" w:rsidP="00791234">
      <w:pPr>
        <w:spacing w:after="0" w:line="240" w:lineRule="auto"/>
        <w:rPr>
          <w:rFonts w:ascii="Palatino Linotype" w:eastAsia="Calibri" w:hAnsi="Palatino Linotype" w:cs="Arial"/>
          <w:b/>
          <w:sz w:val="24"/>
          <w:szCs w:val="24"/>
        </w:rPr>
      </w:pPr>
    </w:p>
    <w:p w:rsidR="00B75AFA" w:rsidRDefault="00B67CCF" w:rsidP="00791234">
      <w:pPr>
        <w:spacing w:after="0" w:line="240" w:lineRule="auto"/>
        <w:rPr>
          <w:rFonts w:ascii="Palatino Linotype" w:eastAsia="Calibri" w:hAnsi="Palatino Linotype" w:cs="Arial"/>
          <w:sz w:val="20"/>
          <w:szCs w:val="20"/>
        </w:rPr>
      </w:pPr>
      <w:r>
        <w:rPr>
          <w:rFonts w:ascii="Palatino Linotype" w:eastAsia="Calibri" w:hAnsi="Palatino Linotype" w:cs="Arial"/>
          <w:b/>
          <w:sz w:val="24"/>
          <w:szCs w:val="24"/>
        </w:rPr>
        <w:t>JGLH/</w:t>
      </w:r>
      <w:r w:rsidR="00CC4B90">
        <w:rPr>
          <w:rFonts w:ascii="Palatino Linotype" w:eastAsia="Calibri" w:hAnsi="Palatino Linotype" w:cs="Arial"/>
          <w:b/>
          <w:sz w:val="24"/>
          <w:szCs w:val="24"/>
        </w:rPr>
        <w:t>JAAV</w:t>
      </w:r>
    </w:p>
    <w:sectPr w:rsidR="00B75AF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15" w:rsidRDefault="00B03215" w:rsidP="00E82D3D">
      <w:pPr>
        <w:spacing w:after="0" w:line="240" w:lineRule="auto"/>
      </w:pPr>
      <w:r>
        <w:separator/>
      </w:r>
    </w:p>
  </w:endnote>
  <w:endnote w:type="continuationSeparator" w:id="0">
    <w:p w:rsidR="00B03215" w:rsidRDefault="00B0321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E4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E4F">
              <w:rPr>
                <w:b/>
                <w:bCs/>
                <w:noProof/>
              </w:rPr>
              <w:t>23</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15" w:rsidRDefault="00B03215" w:rsidP="00E82D3D">
      <w:pPr>
        <w:spacing w:after="0" w:line="240" w:lineRule="auto"/>
      </w:pPr>
      <w:r>
        <w:separator/>
      </w:r>
    </w:p>
  </w:footnote>
  <w:footnote w:type="continuationSeparator" w:id="0">
    <w:p w:rsidR="00B03215" w:rsidRDefault="00B03215"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 w:id="6">
    <w:p w:rsidR="00C53419" w:rsidRDefault="00C53419" w:rsidP="00C53419">
      <w:pPr>
        <w:pStyle w:val="Textonotapie"/>
      </w:pPr>
      <w:r>
        <w:rPr>
          <w:rStyle w:val="Refdenotaalpie"/>
        </w:rPr>
        <w:footnoteRef/>
      </w:r>
      <w:r>
        <w:t xml:space="preserve"> Criterio </w:t>
      </w:r>
      <w:r w:rsidRPr="0034711E">
        <w:t>09/17</w:t>
      </w:r>
    </w:p>
    <w:p w:rsidR="00C53419" w:rsidRDefault="00C53419" w:rsidP="00C53419">
      <w:pPr>
        <w:pStyle w:val="Textonotapie"/>
      </w:pPr>
      <w:r w:rsidRPr="0034711E">
        <w:t>Cuotas sindicales. No están sujetas al escrutinio público.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footnote>
  <w:footnote w:id="7">
    <w:p w:rsidR="00C53419" w:rsidRDefault="00C53419">
      <w:pPr>
        <w:pStyle w:val="Textonotapie"/>
      </w:pPr>
      <w:r>
        <w:rPr>
          <w:rStyle w:val="Refdenotaalpie"/>
        </w:rPr>
        <w:footnoteRef/>
      </w:r>
      <w:r>
        <w:t xml:space="preserve"> Sanchez-Castañeda, Alfredo; Alcances de la reforma constitucional resespecto del Derecho de Acceso a la Informacion en Sindicatos, </w:t>
      </w:r>
      <w:r w:rsidRPr="006C0776">
        <w:t>Instituto Nacional de Transparencia, Acceso a la Información y Protección de Datos Personales</w:t>
      </w:r>
      <w:r>
        <w:t>, México, 2016.</w:t>
      </w:r>
    </w:p>
  </w:footnote>
  <w:footnote w:id="8">
    <w:p w:rsidR="00C53419" w:rsidRDefault="00C53419">
      <w:pPr>
        <w:pStyle w:val="Textonotapie"/>
      </w:pPr>
      <w:r>
        <w:rPr>
          <w:rStyle w:val="Refdenotaalpie"/>
        </w:rPr>
        <w:footnoteRef/>
      </w:r>
      <w:r>
        <w:t xml:space="preserve"> Consultable en: </w:t>
      </w:r>
      <w:r w:rsidRPr="00C53419">
        <w:rPr>
          <w:rStyle w:val="Hipervnculo"/>
          <w:color w:val="auto"/>
          <w:u w:val="none"/>
        </w:rPr>
        <w:t>https://sjf.scjn.gob.mx/SJFSist/paginas/DetalleGeneralV2.aspx?Epoca=1e3e10000000000&amp;Apendice=1000000000000&amp;Expresion=333%2F2009&amp;Dominio=Rubro,Texto&amp;TA_TJ=2&amp;Orden=1&amp;Clase=DetalleTesisBL&amp;NumTE=1&amp;Epp=20&amp;Desde=-100&amp;Hasta=-100&amp;Index=0&amp;InstanciasSeleccionadas=6,1,2,50,7&amp;ID=2004708&amp;Hit=1&amp;IDs=2004708&amp;tipoTesis=&amp;Semanario=0&amp;tabla=&amp;Referencia=&amp;Tema</w:t>
      </w:r>
      <w:r w:rsidRPr="00C5341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E45E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E45E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E45E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1CA3"/>
    <w:rsid w:val="0009550C"/>
    <w:rsid w:val="00096CC2"/>
    <w:rsid w:val="000C1EE1"/>
    <w:rsid w:val="00101869"/>
    <w:rsid w:val="00102360"/>
    <w:rsid w:val="0010753A"/>
    <w:rsid w:val="001240A5"/>
    <w:rsid w:val="001369DC"/>
    <w:rsid w:val="0017326A"/>
    <w:rsid w:val="001B19B4"/>
    <w:rsid w:val="001D64D3"/>
    <w:rsid w:val="001D7FE0"/>
    <w:rsid w:val="001F7C80"/>
    <w:rsid w:val="002275B6"/>
    <w:rsid w:val="00232437"/>
    <w:rsid w:val="002E0BA4"/>
    <w:rsid w:val="002E3ED2"/>
    <w:rsid w:val="002F1AC8"/>
    <w:rsid w:val="002F6C44"/>
    <w:rsid w:val="002F79FF"/>
    <w:rsid w:val="003258B6"/>
    <w:rsid w:val="003416F2"/>
    <w:rsid w:val="00365A30"/>
    <w:rsid w:val="00384DBA"/>
    <w:rsid w:val="00400EB2"/>
    <w:rsid w:val="00401E8B"/>
    <w:rsid w:val="0048628E"/>
    <w:rsid w:val="004B6A69"/>
    <w:rsid w:val="005219C4"/>
    <w:rsid w:val="00550FAF"/>
    <w:rsid w:val="005556CA"/>
    <w:rsid w:val="005F30BC"/>
    <w:rsid w:val="00617ACF"/>
    <w:rsid w:val="00627CAE"/>
    <w:rsid w:val="006A7929"/>
    <w:rsid w:val="006B54EE"/>
    <w:rsid w:val="006B6E4B"/>
    <w:rsid w:val="006F0A01"/>
    <w:rsid w:val="0070347F"/>
    <w:rsid w:val="00776441"/>
    <w:rsid w:val="00790A44"/>
    <w:rsid w:val="00791234"/>
    <w:rsid w:val="00797A31"/>
    <w:rsid w:val="007A2AA5"/>
    <w:rsid w:val="007B2715"/>
    <w:rsid w:val="007D037D"/>
    <w:rsid w:val="00807E40"/>
    <w:rsid w:val="0083750E"/>
    <w:rsid w:val="00861BB5"/>
    <w:rsid w:val="008A4C72"/>
    <w:rsid w:val="008B3418"/>
    <w:rsid w:val="009623E8"/>
    <w:rsid w:val="009765C3"/>
    <w:rsid w:val="009A2D39"/>
    <w:rsid w:val="009E14DE"/>
    <w:rsid w:val="00A16FEB"/>
    <w:rsid w:val="00A24423"/>
    <w:rsid w:val="00A727D5"/>
    <w:rsid w:val="00A971ED"/>
    <w:rsid w:val="00AE23AA"/>
    <w:rsid w:val="00B03215"/>
    <w:rsid w:val="00B066EB"/>
    <w:rsid w:val="00B15765"/>
    <w:rsid w:val="00B46E35"/>
    <w:rsid w:val="00B55534"/>
    <w:rsid w:val="00B57C0A"/>
    <w:rsid w:val="00B67CCF"/>
    <w:rsid w:val="00B75AFA"/>
    <w:rsid w:val="00B9285A"/>
    <w:rsid w:val="00B92C8E"/>
    <w:rsid w:val="00BB488C"/>
    <w:rsid w:val="00BC675B"/>
    <w:rsid w:val="00C17876"/>
    <w:rsid w:val="00C3567A"/>
    <w:rsid w:val="00C4209F"/>
    <w:rsid w:val="00C53419"/>
    <w:rsid w:val="00C65912"/>
    <w:rsid w:val="00C753D8"/>
    <w:rsid w:val="00C760CB"/>
    <w:rsid w:val="00C851A8"/>
    <w:rsid w:val="00CA2B8E"/>
    <w:rsid w:val="00CC4B90"/>
    <w:rsid w:val="00CC7CC1"/>
    <w:rsid w:val="00CD46C3"/>
    <w:rsid w:val="00CF0462"/>
    <w:rsid w:val="00D63660"/>
    <w:rsid w:val="00D704EE"/>
    <w:rsid w:val="00D84F48"/>
    <w:rsid w:val="00D866D1"/>
    <w:rsid w:val="00DC11A3"/>
    <w:rsid w:val="00DD14BB"/>
    <w:rsid w:val="00DE7A32"/>
    <w:rsid w:val="00E041FE"/>
    <w:rsid w:val="00E452A1"/>
    <w:rsid w:val="00E45E4F"/>
    <w:rsid w:val="00E82D3D"/>
    <w:rsid w:val="00F30EE8"/>
    <w:rsid w:val="00F7738C"/>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E466-B5CD-4180-8A5F-C22AE1FD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5135</Words>
  <Characters>28247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2017-10-09T21:41:00Z</cp:lastPrinted>
  <dcterms:created xsi:type="dcterms:W3CDTF">2018-10-29T17:21:00Z</dcterms:created>
  <dcterms:modified xsi:type="dcterms:W3CDTF">2018-10-29T17:21:00Z</dcterms:modified>
</cp:coreProperties>
</file>